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200AA3">
        <w:trPr>
          <w:tblCellSpacing w:w="60" w:type="dxa"/>
        </w:trPr>
        <w:tc>
          <w:tcPr>
            <w:tcW w:w="1200" w:type="pct"/>
            <w:shd w:val="clear" w:color="auto" w:fill="E7F0F9"/>
          </w:tcPr>
          <w:p w:rsidR="00200AA3" w:rsidRDefault="00C846AF">
            <w:pPr>
              <w:spacing w:after="0" w:line="240" w:lineRule="auto"/>
            </w:pPr>
            <w:r>
              <w:rPr>
                <w:b/>
              </w:rPr>
              <w:t>RKP broj</w:t>
            </w:r>
          </w:p>
        </w:tc>
        <w:tc>
          <w:tcPr>
            <w:tcW w:w="0" w:type="auto"/>
            <w:shd w:val="clear" w:color="auto" w:fill="E7F0F9"/>
          </w:tcPr>
          <w:p w:rsidR="00200AA3" w:rsidRDefault="00C846AF">
            <w:pPr>
              <w:spacing w:after="0" w:line="240" w:lineRule="auto"/>
            </w:pPr>
            <w:r>
              <w:t>13828</w:t>
            </w:r>
          </w:p>
        </w:tc>
      </w:tr>
      <w:tr w:rsidR="00200AA3">
        <w:trPr>
          <w:tblCellSpacing w:w="60" w:type="dxa"/>
        </w:trPr>
        <w:tc>
          <w:tcPr>
            <w:tcW w:w="1200" w:type="pct"/>
            <w:shd w:val="clear" w:color="auto" w:fill="E7F0F9"/>
          </w:tcPr>
          <w:p w:rsidR="00200AA3" w:rsidRDefault="00C846AF">
            <w:pPr>
              <w:spacing w:after="0" w:line="240" w:lineRule="auto"/>
            </w:pPr>
            <w:r>
              <w:rPr>
                <w:b/>
              </w:rPr>
              <w:t>Naziv obveznika</w:t>
            </w:r>
          </w:p>
        </w:tc>
        <w:tc>
          <w:tcPr>
            <w:tcW w:w="0" w:type="auto"/>
            <w:shd w:val="clear" w:color="auto" w:fill="E7F0F9"/>
          </w:tcPr>
          <w:p w:rsidR="00200AA3" w:rsidRDefault="00C846AF">
            <w:pPr>
              <w:spacing w:after="0" w:line="240" w:lineRule="auto"/>
            </w:pPr>
            <w:r>
              <w:t>O.Š. IZIDORA POLJAKA VIŠNJICA, VIŠNJICA</w:t>
            </w:r>
          </w:p>
        </w:tc>
      </w:tr>
      <w:tr w:rsidR="00200AA3">
        <w:trPr>
          <w:tblCellSpacing w:w="60" w:type="dxa"/>
        </w:trPr>
        <w:tc>
          <w:tcPr>
            <w:tcW w:w="1200" w:type="pct"/>
            <w:shd w:val="clear" w:color="auto" w:fill="E7F0F9"/>
          </w:tcPr>
          <w:p w:rsidR="00200AA3" w:rsidRDefault="00C846AF">
            <w:pPr>
              <w:spacing w:after="0" w:line="240" w:lineRule="auto"/>
            </w:pPr>
            <w:r>
              <w:rPr>
                <w:b/>
              </w:rPr>
              <w:t>Razina</w:t>
            </w:r>
          </w:p>
        </w:tc>
        <w:tc>
          <w:tcPr>
            <w:tcW w:w="0" w:type="auto"/>
            <w:shd w:val="clear" w:color="auto" w:fill="E7F0F9"/>
          </w:tcPr>
          <w:p w:rsidR="00200AA3" w:rsidRDefault="00C846AF">
            <w:pPr>
              <w:spacing w:after="0" w:line="240" w:lineRule="auto"/>
            </w:pPr>
            <w:r>
              <w:t>31</w:t>
            </w:r>
          </w:p>
        </w:tc>
      </w:tr>
    </w:tbl>
    <w:p w:rsidR="00200AA3" w:rsidRDefault="00C846AF">
      <w:r>
        <w:br/>
      </w:r>
    </w:p>
    <w:p w:rsidR="00200AA3" w:rsidRDefault="00C846AF">
      <w:pPr>
        <w:spacing w:line="240" w:lineRule="auto"/>
        <w:jc w:val="center"/>
      </w:pPr>
      <w:r>
        <w:rPr>
          <w:b/>
          <w:sz w:val="28"/>
        </w:rPr>
        <w:t>BILJEŠKE UZ FINANCIJSKE IZVJEŠTAJE</w:t>
      </w:r>
    </w:p>
    <w:p w:rsidR="00200AA3" w:rsidRDefault="00C846AF">
      <w:pPr>
        <w:spacing w:line="240" w:lineRule="auto"/>
        <w:jc w:val="center"/>
      </w:pPr>
      <w:r>
        <w:rPr>
          <w:b/>
          <w:sz w:val="28"/>
        </w:rPr>
        <w:t>ZA RAZDOBLJE</w:t>
      </w:r>
    </w:p>
    <w:p w:rsidR="00200AA3" w:rsidRDefault="00C846AF">
      <w:pPr>
        <w:spacing w:line="240" w:lineRule="auto"/>
        <w:jc w:val="center"/>
      </w:pPr>
      <w:r>
        <w:rPr>
          <w:b/>
          <w:sz w:val="28"/>
        </w:rPr>
        <w:t>I - XII 2025.</w:t>
      </w:r>
    </w:p>
    <w:p w:rsidR="00200AA3" w:rsidRDefault="00200AA3"/>
    <w:p w:rsidR="00200AA3" w:rsidRDefault="00C846AF">
      <w:pPr>
        <w:keepNext/>
        <w:spacing w:line="240" w:lineRule="auto"/>
        <w:jc w:val="center"/>
      </w:pPr>
      <w:r>
        <w:rPr>
          <w:b/>
          <w:sz w:val="28"/>
        </w:rPr>
        <w:t>Izvještaj o prihodima i rashodima, primicima i izdacima</w:t>
      </w:r>
    </w:p>
    <w:p w:rsidR="00200AA3" w:rsidRDefault="00C846A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6</w:t>
            </w:r>
          </w:p>
        </w:tc>
        <w:tc>
          <w:tcPr>
            <w:tcW w:w="3180" w:type="dxa"/>
            <w:tcMar>
              <w:top w:w="0" w:type="dxa"/>
              <w:bottom w:w="0" w:type="dxa"/>
            </w:tcMar>
            <w:vAlign w:val="center"/>
          </w:tcPr>
          <w:p w:rsidR="00200AA3" w:rsidRDefault="00C846AF">
            <w:pPr>
              <w:keepNext/>
              <w:keepLines/>
              <w:spacing w:after="0" w:line="240" w:lineRule="auto"/>
            </w:pPr>
            <w:r>
              <w:rPr>
                <w:sz w:val="18"/>
              </w:rPr>
              <w:t>PRIHODI POSLOVANJA (šifre 61+62+63+64+65+66+67+68)</w:t>
            </w:r>
          </w:p>
        </w:tc>
        <w:tc>
          <w:tcPr>
            <w:tcW w:w="700" w:type="dxa"/>
            <w:tcMar>
              <w:top w:w="0" w:type="dxa"/>
              <w:bottom w:w="0" w:type="dxa"/>
            </w:tcMar>
            <w:vAlign w:val="center"/>
          </w:tcPr>
          <w:p w:rsidR="00200AA3" w:rsidRDefault="00C846AF">
            <w:pPr>
              <w:keepNext/>
              <w:keepLines/>
              <w:spacing w:after="0" w:line="240" w:lineRule="auto"/>
            </w:pPr>
            <w:r>
              <w:rPr>
                <w:sz w:val="18"/>
              </w:rPr>
              <w:t>6</w:t>
            </w:r>
          </w:p>
        </w:tc>
        <w:tc>
          <w:tcPr>
            <w:tcW w:w="1860" w:type="dxa"/>
            <w:tcMar>
              <w:top w:w="0" w:type="dxa"/>
              <w:bottom w:w="0" w:type="dxa"/>
            </w:tcMar>
            <w:vAlign w:val="center"/>
          </w:tcPr>
          <w:p w:rsidR="00200AA3" w:rsidRDefault="00C846AF">
            <w:pPr>
              <w:keepNext/>
              <w:keepLines/>
              <w:spacing w:after="0" w:line="240" w:lineRule="auto"/>
              <w:jc w:val="right"/>
            </w:pPr>
            <w:r>
              <w:rPr>
                <w:sz w:val="18"/>
              </w:rPr>
              <w:t>1.106.366,68</w:t>
            </w:r>
          </w:p>
        </w:tc>
        <w:tc>
          <w:tcPr>
            <w:tcW w:w="1860" w:type="dxa"/>
            <w:tcMar>
              <w:top w:w="0" w:type="dxa"/>
              <w:bottom w:w="0" w:type="dxa"/>
            </w:tcMar>
            <w:vAlign w:val="center"/>
          </w:tcPr>
          <w:p w:rsidR="00200AA3" w:rsidRDefault="00C846AF">
            <w:pPr>
              <w:keepNext/>
              <w:keepLines/>
              <w:spacing w:after="0" w:line="240" w:lineRule="auto"/>
              <w:jc w:val="right"/>
            </w:pPr>
            <w:r>
              <w:rPr>
                <w:sz w:val="18"/>
              </w:rPr>
              <w:t>1.223.088,02</w:t>
            </w:r>
          </w:p>
        </w:tc>
        <w:tc>
          <w:tcPr>
            <w:tcW w:w="700" w:type="dxa"/>
            <w:tcMar>
              <w:top w:w="0" w:type="dxa"/>
              <w:bottom w:w="0" w:type="dxa"/>
            </w:tcMar>
            <w:vAlign w:val="center"/>
          </w:tcPr>
          <w:p w:rsidR="00200AA3" w:rsidRDefault="00C846AF">
            <w:pPr>
              <w:keepNext/>
              <w:keepLines/>
              <w:spacing w:after="0" w:line="240" w:lineRule="auto"/>
              <w:jc w:val="right"/>
            </w:pPr>
            <w:r>
              <w:rPr>
                <w:sz w:val="18"/>
              </w:rPr>
              <w:t>110,5</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3</w:t>
            </w:r>
          </w:p>
        </w:tc>
        <w:tc>
          <w:tcPr>
            <w:tcW w:w="3180" w:type="dxa"/>
            <w:tcMar>
              <w:top w:w="0" w:type="dxa"/>
              <w:bottom w:w="0" w:type="dxa"/>
            </w:tcMar>
            <w:vAlign w:val="center"/>
          </w:tcPr>
          <w:p w:rsidR="00200AA3" w:rsidRDefault="00C846AF">
            <w:pPr>
              <w:keepNext/>
              <w:keepLines/>
              <w:spacing w:after="0" w:line="240" w:lineRule="auto"/>
            </w:pPr>
            <w:r>
              <w:rPr>
                <w:sz w:val="18"/>
              </w:rPr>
              <w:t>RASHODI POSLOVANJA (šifre 31+32+34+35+36+37+38)</w:t>
            </w:r>
          </w:p>
        </w:tc>
        <w:tc>
          <w:tcPr>
            <w:tcW w:w="700" w:type="dxa"/>
            <w:tcMar>
              <w:top w:w="0" w:type="dxa"/>
              <w:bottom w:w="0" w:type="dxa"/>
            </w:tcMar>
            <w:vAlign w:val="center"/>
          </w:tcPr>
          <w:p w:rsidR="00200AA3" w:rsidRDefault="00C846AF">
            <w:pPr>
              <w:keepNext/>
              <w:keepLines/>
              <w:spacing w:after="0" w:line="240" w:lineRule="auto"/>
            </w:pPr>
            <w:r>
              <w:rPr>
                <w:sz w:val="18"/>
              </w:rPr>
              <w:t>3</w:t>
            </w:r>
          </w:p>
        </w:tc>
        <w:tc>
          <w:tcPr>
            <w:tcW w:w="1860" w:type="dxa"/>
            <w:tcMar>
              <w:top w:w="0" w:type="dxa"/>
              <w:bottom w:w="0" w:type="dxa"/>
            </w:tcMar>
            <w:vAlign w:val="center"/>
          </w:tcPr>
          <w:p w:rsidR="00200AA3" w:rsidRDefault="00C846AF">
            <w:pPr>
              <w:keepNext/>
              <w:keepLines/>
              <w:spacing w:after="0" w:line="240" w:lineRule="auto"/>
              <w:jc w:val="right"/>
            </w:pPr>
            <w:r>
              <w:rPr>
                <w:sz w:val="18"/>
              </w:rPr>
              <w:t>1.107.769,79</w:t>
            </w:r>
          </w:p>
        </w:tc>
        <w:tc>
          <w:tcPr>
            <w:tcW w:w="1860" w:type="dxa"/>
            <w:tcMar>
              <w:top w:w="0" w:type="dxa"/>
              <w:bottom w:w="0" w:type="dxa"/>
            </w:tcMar>
            <w:vAlign w:val="center"/>
          </w:tcPr>
          <w:p w:rsidR="00200AA3" w:rsidRDefault="00C846AF">
            <w:pPr>
              <w:keepNext/>
              <w:keepLines/>
              <w:spacing w:after="0" w:line="240" w:lineRule="auto"/>
              <w:jc w:val="right"/>
            </w:pPr>
            <w:r>
              <w:rPr>
                <w:sz w:val="18"/>
              </w:rPr>
              <w:t>1.310.858,26</w:t>
            </w:r>
          </w:p>
        </w:tc>
        <w:tc>
          <w:tcPr>
            <w:tcW w:w="700" w:type="dxa"/>
            <w:tcMar>
              <w:top w:w="0" w:type="dxa"/>
              <w:bottom w:w="0" w:type="dxa"/>
            </w:tcMar>
            <w:vAlign w:val="center"/>
          </w:tcPr>
          <w:p w:rsidR="00200AA3" w:rsidRDefault="00C846AF">
            <w:pPr>
              <w:keepNext/>
              <w:keepLines/>
              <w:spacing w:after="0" w:line="240" w:lineRule="auto"/>
              <w:jc w:val="right"/>
            </w:pPr>
            <w:r>
              <w:rPr>
                <w:sz w:val="18"/>
              </w:rPr>
              <w:t>118,3</w:t>
            </w:r>
          </w:p>
        </w:tc>
      </w:tr>
      <w:tr w:rsidR="00200AA3">
        <w:trPr>
          <w:cantSplit/>
          <w:trHeight w:val="560"/>
        </w:trPr>
        <w:tc>
          <w:tcPr>
            <w:tcW w:w="700" w:type="dxa"/>
            <w:tcMar>
              <w:top w:w="0" w:type="dxa"/>
              <w:bottom w:w="0" w:type="dxa"/>
            </w:tcMar>
            <w:vAlign w:val="center"/>
          </w:tcPr>
          <w:p w:rsidR="00200AA3" w:rsidRDefault="00200AA3">
            <w:pPr>
              <w:keepNext/>
              <w:keepLines/>
              <w:spacing w:after="0" w:line="240" w:lineRule="auto"/>
            </w:pPr>
          </w:p>
        </w:tc>
        <w:tc>
          <w:tcPr>
            <w:tcW w:w="3180" w:type="dxa"/>
            <w:tcMar>
              <w:top w:w="0" w:type="dxa"/>
              <w:bottom w:w="0" w:type="dxa"/>
            </w:tcMar>
            <w:vAlign w:val="center"/>
          </w:tcPr>
          <w:p w:rsidR="00200AA3" w:rsidRDefault="00C846AF">
            <w:pPr>
              <w:keepNext/>
              <w:keepLines/>
              <w:spacing w:after="0" w:line="240" w:lineRule="auto"/>
            </w:pPr>
            <w:r>
              <w:rPr>
                <w:b/>
                <w:sz w:val="18"/>
              </w:rPr>
              <w:t>MANJAK PRIHODA POSLOVANJA (šifre Z005-6)</w:t>
            </w:r>
          </w:p>
        </w:tc>
        <w:tc>
          <w:tcPr>
            <w:tcW w:w="700" w:type="dxa"/>
            <w:tcMar>
              <w:top w:w="0" w:type="dxa"/>
              <w:bottom w:w="0" w:type="dxa"/>
            </w:tcMar>
            <w:vAlign w:val="center"/>
          </w:tcPr>
          <w:p w:rsidR="00200AA3" w:rsidRDefault="00C846AF">
            <w:pPr>
              <w:keepNext/>
              <w:keepLines/>
              <w:spacing w:after="0" w:line="240" w:lineRule="auto"/>
            </w:pPr>
            <w:r>
              <w:rPr>
                <w:b/>
                <w:sz w:val="18"/>
              </w:rPr>
              <w:t>Y001</w:t>
            </w:r>
          </w:p>
        </w:tc>
        <w:tc>
          <w:tcPr>
            <w:tcW w:w="1860" w:type="dxa"/>
            <w:tcMar>
              <w:top w:w="0" w:type="dxa"/>
              <w:bottom w:w="0" w:type="dxa"/>
            </w:tcMar>
            <w:vAlign w:val="center"/>
          </w:tcPr>
          <w:p w:rsidR="00200AA3" w:rsidRDefault="00C846AF">
            <w:pPr>
              <w:keepNext/>
              <w:keepLines/>
              <w:spacing w:after="0" w:line="240" w:lineRule="auto"/>
              <w:jc w:val="right"/>
            </w:pPr>
            <w:r>
              <w:rPr>
                <w:b/>
                <w:sz w:val="18"/>
              </w:rPr>
              <w:t>1.403,11</w:t>
            </w:r>
          </w:p>
        </w:tc>
        <w:tc>
          <w:tcPr>
            <w:tcW w:w="1860" w:type="dxa"/>
            <w:tcMar>
              <w:top w:w="0" w:type="dxa"/>
              <w:bottom w:w="0" w:type="dxa"/>
            </w:tcMar>
            <w:vAlign w:val="center"/>
          </w:tcPr>
          <w:p w:rsidR="00200AA3" w:rsidRDefault="00C846AF">
            <w:pPr>
              <w:keepNext/>
              <w:keepLines/>
              <w:spacing w:after="0" w:line="240" w:lineRule="auto"/>
              <w:jc w:val="right"/>
            </w:pPr>
            <w:r>
              <w:rPr>
                <w:b/>
                <w:sz w:val="18"/>
              </w:rPr>
              <w:t>87.770,24</w:t>
            </w:r>
          </w:p>
        </w:tc>
        <w:tc>
          <w:tcPr>
            <w:tcW w:w="700" w:type="dxa"/>
            <w:tcMar>
              <w:top w:w="0" w:type="dxa"/>
              <w:bottom w:w="0" w:type="dxa"/>
            </w:tcMar>
            <w:vAlign w:val="center"/>
          </w:tcPr>
          <w:p w:rsidR="00200AA3" w:rsidRDefault="00C846AF">
            <w:pPr>
              <w:keepNext/>
              <w:keepLines/>
              <w:spacing w:after="0" w:line="240" w:lineRule="auto"/>
              <w:jc w:val="right"/>
            </w:pPr>
            <w:r>
              <w:rPr>
                <w:b/>
                <w:sz w:val="18"/>
              </w:rPr>
              <w:t>6255,4</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7</w:t>
            </w:r>
          </w:p>
        </w:tc>
        <w:tc>
          <w:tcPr>
            <w:tcW w:w="3180" w:type="dxa"/>
            <w:tcMar>
              <w:top w:w="0" w:type="dxa"/>
              <w:bottom w:w="0" w:type="dxa"/>
            </w:tcMar>
            <w:vAlign w:val="center"/>
          </w:tcPr>
          <w:p w:rsidR="00200AA3" w:rsidRDefault="00C846A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200AA3" w:rsidRDefault="00C846AF">
            <w:pPr>
              <w:keepNext/>
              <w:keepLines/>
              <w:spacing w:after="0" w:line="240" w:lineRule="auto"/>
            </w:pPr>
            <w:r>
              <w:rPr>
                <w:sz w:val="18"/>
              </w:rPr>
              <w:t>7</w:t>
            </w:r>
          </w:p>
        </w:tc>
        <w:tc>
          <w:tcPr>
            <w:tcW w:w="1860" w:type="dxa"/>
            <w:tcMar>
              <w:top w:w="0" w:type="dxa"/>
              <w:bottom w:w="0" w:type="dxa"/>
            </w:tcMar>
            <w:vAlign w:val="center"/>
          </w:tcPr>
          <w:p w:rsidR="00200AA3" w:rsidRDefault="00C846AF">
            <w:pPr>
              <w:keepNext/>
              <w:keepLines/>
              <w:spacing w:after="0" w:line="240" w:lineRule="auto"/>
              <w:jc w:val="right"/>
            </w:pPr>
            <w:r>
              <w:rPr>
                <w:sz w:val="18"/>
              </w:rPr>
              <w:t>0,00</w:t>
            </w:r>
          </w:p>
        </w:tc>
        <w:tc>
          <w:tcPr>
            <w:tcW w:w="1860" w:type="dxa"/>
            <w:tcMar>
              <w:top w:w="0" w:type="dxa"/>
              <w:bottom w:w="0" w:type="dxa"/>
            </w:tcMar>
            <w:vAlign w:val="center"/>
          </w:tcPr>
          <w:p w:rsidR="00200AA3" w:rsidRDefault="00C846AF">
            <w:pPr>
              <w:keepNext/>
              <w:keepLines/>
              <w:spacing w:after="0" w:line="240" w:lineRule="auto"/>
              <w:jc w:val="right"/>
            </w:pPr>
            <w:r>
              <w:rPr>
                <w:sz w:val="18"/>
              </w:rPr>
              <w:t>0,00</w:t>
            </w:r>
          </w:p>
        </w:tc>
        <w:tc>
          <w:tcPr>
            <w:tcW w:w="700" w:type="dxa"/>
            <w:tcMar>
              <w:top w:w="0" w:type="dxa"/>
              <w:bottom w:w="0" w:type="dxa"/>
            </w:tcMar>
            <w:vAlign w:val="center"/>
          </w:tcPr>
          <w:p w:rsidR="00200AA3" w:rsidRDefault="00C846AF">
            <w:pPr>
              <w:keepNext/>
              <w:keepLines/>
              <w:spacing w:after="0" w:line="240" w:lineRule="auto"/>
              <w:jc w:val="right"/>
            </w:pPr>
            <w:r>
              <w:rPr>
                <w:sz w:val="18"/>
              </w:rPr>
              <w:t>-</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4</w:t>
            </w:r>
          </w:p>
        </w:tc>
        <w:tc>
          <w:tcPr>
            <w:tcW w:w="3180" w:type="dxa"/>
            <w:tcMar>
              <w:top w:w="0" w:type="dxa"/>
              <w:bottom w:w="0" w:type="dxa"/>
            </w:tcMar>
            <w:vAlign w:val="center"/>
          </w:tcPr>
          <w:p w:rsidR="00200AA3" w:rsidRDefault="00C846A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200AA3" w:rsidRDefault="00C846AF">
            <w:pPr>
              <w:keepNext/>
              <w:keepLines/>
              <w:spacing w:after="0" w:line="240" w:lineRule="auto"/>
            </w:pPr>
            <w:r>
              <w:rPr>
                <w:sz w:val="18"/>
              </w:rPr>
              <w:t>4</w:t>
            </w:r>
          </w:p>
        </w:tc>
        <w:tc>
          <w:tcPr>
            <w:tcW w:w="1860" w:type="dxa"/>
            <w:tcMar>
              <w:top w:w="0" w:type="dxa"/>
              <w:bottom w:w="0" w:type="dxa"/>
            </w:tcMar>
            <w:vAlign w:val="center"/>
          </w:tcPr>
          <w:p w:rsidR="00200AA3" w:rsidRDefault="00C846AF">
            <w:pPr>
              <w:keepNext/>
              <w:keepLines/>
              <w:spacing w:after="0" w:line="240" w:lineRule="auto"/>
              <w:jc w:val="right"/>
            </w:pPr>
            <w:r>
              <w:rPr>
                <w:sz w:val="18"/>
              </w:rPr>
              <w:t>8.301,27</w:t>
            </w:r>
          </w:p>
        </w:tc>
        <w:tc>
          <w:tcPr>
            <w:tcW w:w="1860" w:type="dxa"/>
            <w:tcMar>
              <w:top w:w="0" w:type="dxa"/>
              <w:bottom w:w="0" w:type="dxa"/>
            </w:tcMar>
            <w:vAlign w:val="center"/>
          </w:tcPr>
          <w:p w:rsidR="00200AA3" w:rsidRDefault="00C846AF">
            <w:pPr>
              <w:keepNext/>
              <w:keepLines/>
              <w:spacing w:after="0" w:line="240" w:lineRule="auto"/>
              <w:jc w:val="right"/>
            </w:pPr>
            <w:r>
              <w:rPr>
                <w:sz w:val="18"/>
              </w:rPr>
              <w:t>7.833,05</w:t>
            </w:r>
          </w:p>
        </w:tc>
        <w:tc>
          <w:tcPr>
            <w:tcW w:w="700" w:type="dxa"/>
            <w:tcMar>
              <w:top w:w="0" w:type="dxa"/>
              <w:bottom w:w="0" w:type="dxa"/>
            </w:tcMar>
            <w:vAlign w:val="center"/>
          </w:tcPr>
          <w:p w:rsidR="00200AA3" w:rsidRDefault="00C846AF">
            <w:pPr>
              <w:keepNext/>
              <w:keepLines/>
              <w:spacing w:after="0" w:line="240" w:lineRule="auto"/>
              <w:jc w:val="right"/>
            </w:pPr>
            <w:r>
              <w:rPr>
                <w:sz w:val="18"/>
              </w:rPr>
              <w:t>94,4</w:t>
            </w:r>
          </w:p>
        </w:tc>
      </w:tr>
      <w:tr w:rsidR="00200AA3">
        <w:trPr>
          <w:cantSplit/>
          <w:trHeight w:val="560"/>
        </w:trPr>
        <w:tc>
          <w:tcPr>
            <w:tcW w:w="700" w:type="dxa"/>
            <w:tcMar>
              <w:top w:w="0" w:type="dxa"/>
              <w:bottom w:w="0" w:type="dxa"/>
            </w:tcMar>
            <w:vAlign w:val="center"/>
          </w:tcPr>
          <w:p w:rsidR="00200AA3" w:rsidRDefault="00200AA3">
            <w:pPr>
              <w:keepNext/>
              <w:keepLines/>
              <w:spacing w:after="0" w:line="240" w:lineRule="auto"/>
            </w:pPr>
          </w:p>
        </w:tc>
        <w:tc>
          <w:tcPr>
            <w:tcW w:w="3180" w:type="dxa"/>
            <w:tcMar>
              <w:top w:w="0" w:type="dxa"/>
              <w:bottom w:w="0" w:type="dxa"/>
            </w:tcMar>
            <w:vAlign w:val="center"/>
          </w:tcPr>
          <w:p w:rsidR="00200AA3" w:rsidRDefault="00C846AF">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200AA3" w:rsidRDefault="00C846AF">
            <w:pPr>
              <w:keepNext/>
              <w:keepLines/>
              <w:spacing w:after="0" w:line="240" w:lineRule="auto"/>
            </w:pPr>
            <w:r>
              <w:rPr>
                <w:b/>
                <w:sz w:val="18"/>
              </w:rPr>
              <w:t>Y002</w:t>
            </w:r>
          </w:p>
        </w:tc>
        <w:tc>
          <w:tcPr>
            <w:tcW w:w="1860" w:type="dxa"/>
            <w:tcMar>
              <w:top w:w="0" w:type="dxa"/>
              <w:bottom w:w="0" w:type="dxa"/>
            </w:tcMar>
            <w:vAlign w:val="center"/>
          </w:tcPr>
          <w:p w:rsidR="00200AA3" w:rsidRDefault="00C846AF">
            <w:pPr>
              <w:keepNext/>
              <w:keepLines/>
              <w:spacing w:after="0" w:line="240" w:lineRule="auto"/>
              <w:jc w:val="right"/>
            </w:pPr>
            <w:r>
              <w:rPr>
                <w:b/>
                <w:sz w:val="18"/>
              </w:rPr>
              <w:t>8.301,27</w:t>
            </w:r>
          </w:p>
        </w:tc>
        <w:tc>
          <w:tcPr>
            <w:tcW w:w="1860" w:type="dxa"/>
            <w:tcMar>
              <w:top w:w="0" w:type="dxa"/>
              <w:bottom w:w="0" w:type="dxa"/>
            </w:tcMar>
            <w:vAlign w:val="center"/>
          </w:tcPr>
          <w:p w:rsidR="00200AA3" w:rsidRDefault="00C846AF">
            <w:pPr>
              <w:keepNext/>
              <w:keepLines/>
              <w:spacing w:after="0" w:line="240" w:lineRule="auto"/>
              <w:jc w:val="right"/>
            </w:pPr>
            <w:r>
              <w:rPr>
                <w:b/>
                <w:sz w:val="18"/>
              </w:rPr>
              <w:t>7.833,05</w:t>
            </w:r>
          </w:p>
        </w:tc>
        <w:tc>
          <w:tcPr>
            <w:tcW w:w="700" w:type="dxa"/>
            <w:tcMar>
              <w:top w:w="0" w:type="dxa"/>
              <w:bottom w:w="0" w:type="dxa"/>
            </w:tcMar>
            <w:vAlign w:val="center"/>
          </w:tcPr>
          <w:p w:rsidR="00200AA3" w:rsidRDefault="00C846AF">
            <w:pPr>
              <w:keepNext/>
              <w:keepLines/>
              <w:spacing w:after="0" w:line="240" w:lineRule="auto"/>
              <w:jc w:val="right"/>
            </w:pPr>
            <w:r>
              <w:rPr>
                <w:b/>
                <w:sz w:val="18"/>
              </w:rPr>
              <w:t>94,4</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8</w:t>
            </w:r>
          </w:p>
        </w:tc>
        <w:tc>
          <w:tcPr>
            <w:tcW w:w="3180" w:type="dxa"/>
            <w:tcMar>
              <w:top w:w="0" w:type="dxa"/>
              <w:bottom w:w="0" w:type="dxa"/>
            </w:tcMar>
            <w:vAlign w:val="center"/>
          </w:tcPr>
          <w:p w:rsidR="00200AA3" w:rsidRDefault="00C846A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200AA3" w:rsidRDefault="00C846AF">
            <w:pPr>
              <w:keepNext/>
              <w:keepLines/>
              <w:spacing w:after="0" w:line="240" w:lineRule="auto"/>
            </w:pPr>
            <w:r>
              <w:rPr>
                <w:sz w:val="18"/>
              </w:rPr>
              <w:t>8</w:t>
            </w:r>
          </w:p>
        </w:tc>
        <w:tc>
          <w:tcPr>
            <w:tcW w:w="1860" w:type="dxa"/>
            <w:tcMar>
              <w:top w:w="0" w:type="dxa"/>
              <w:bottom w:w="0" w:type="dxa"/>
            </w:tcMar>
            <w:vAlign w:val="center"/>
          </w:tcPr>
          <w:p w:rsidR="00200AA3" w:rsidRDefault="00C846AF">
            <w:pPr>
              <w:keepNext/>
              <w:keepLines/>
              <w:spacing w:after="0" w:line="240" w:lineRule="auto"/>
              <w:jc w:val="right"/>
            </w:pPr>
            <w:r>
              <w:rPr>
                <w:sz w:val="18"/>
              </w:rPr>
              <w:t>0,00</w:t>
            </w:r>
          </w:p>
        </w:tc>
        <w:tc>
          <w:tcPr>
            <w:tcW w:w="1860" w:type="dxa"/>
            <w:tcMar>
              <w:top w:w="0" w:type="dxa"/>
              <w:bottom w:w="0" w:type="dxa"/>
            </w:tcMar>
            <w:vAlign w:val="center"/>
          </w:tcPr>
          <w:p w:rsidR="00200AA3" w:rsidRDefault="00C846AF">
            <w:pPr>
              <w:keepNext/>
              <w:keepLines/>
              <w:spacing w:after="0" w:line="240" w:lineRule="auto"/>
              <w:jc w:val="right"/>
            </w:pPr>
            <w:r>
              <w:rPr>
                <w:sz w:val="18"/>
              </w:rPr>
              <w:t>0,00</w:t>
            </w:r>
          </w:p>
        </w:tc>
        <w:tc>
          <w:tcPr>
            <w:tcW w:w="700" w:type="dxa"/>
            <w:tcMar>
              <w:top w:w="0" w:type="dxa"/>
              <w:bottom w:w="0" w:type="dxa"/>
            </w:tcMar>
            <w:vAlign w:val="center"/>
          </w:tcPr>
          <w:p w:rsidR="00200AA3" w:rsidRDefault="00C846AF">
            <w:pPr>
              <w:keepNext/>
              <w:keepLines/>
              <w:spacing w:after="0" w:line="240" w:lineRule="auto"/>
              <w:jc w:val="right"/>
            </w:pPr>
            <w:r>
              <w:rPr>
                <w:sz w:val="18"/>
              </w:rPr>
              <w:t>-</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5</w:t>
            </w:r>
          </w:p>
        </w:tc>
        <w:tc>
          <w:tcPr>
            <w:tcW w:w="3180" w:type="dxa"/>
            <w:tcMar>
              <w:top w:w="0" w:type="dxa"/>
              <w:bottom w:w="0" w:type="dxa"/>
            </w:tcMar>
            <w:vAlign w:val="center"/>
          </w:tcPr>
          <w:p w:rsidR="00200AA3" w:rsidRDefault="00C846AF">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200AA3" w:rsidRDefault="00C846AF">
            <w:pPr>
              <w:keepNext/>
              <w:keepLines/>
              <w:spacing w:after="0" w:line="240" w:lineRule="auto"/>
            </w:pPr>
            <w:r>
              <w:rPr>
                <w:sz w:val="18"/>
              </w:rPr>
              <w:t>5</w:t>
            </w:r>
          </w:p>
        </w:tc>
        <w:tc>
          <w:tcPr>
            <w:tcW w:w="1860" w:type="dxa"/>
            <w:tcMar>
              <w:top w:w="0" w:type="dxa"/>
              <w:bottom w:w="0" w:type="dxa"/>
            </w:tcMar>
            <w:vAlign w:val="center"/>
          </w:tcPr>
          <w:p w:rsidR="00200AA3" w:rsidRDefault="00C846AF">
            <w:pPr>
              <w:keepNext/>
              <w:keepLines/>
              <w:spacing w:after="0" w:line="240" w:lineRule="auto"/>
              <w:jc w:val="right"/>
            </w:pPr>
            <w:r>
              <w:rPr>
                <w:sz w:val="18"/>
              </w:rPr>
              <w:t>0,00</w:t>
            </w:r>
          </w:p>
        </w:tc>
        <w:tc>
          <w:tcPr>
            <w:tcW w:w="1860" w:type="dxa"/>
            <w:tcMar>
              <w:top w:w="0" w:type="dxa"/>
              <w:bottom w:w="0" w:type="dxa"/>
            </w:tcMar>
            <w:vAlign w:val="center"/>
          </w:tcPr>
          <w:p w:rsidR="00200AA3" w:rsidRDefault="00C846AF">
            <w:pPr>
              <w:keepNext/>
              <w:keepLines/>
              <w:spacing w:after="0" w:line="240" w:lineRule="auto"/>
              <w:jc w:val="right"/>
            </w:pPr>
            <w:r>
              <w:rPr>
                <w:sz w:val="18"/>
              </w:rPr>
              <w:t>0,00</w:t>
            </w:r>
          </w:p>
        </w:tc>
        <w:tc>
          <w:tcPr>
            <w:tcW w:w="700" w:type="dxa"/>
            <w:tcMar>
              <w:top w:w="0" w:type="dxa"/>
              <w:bottom w:w="0" w:type="dxa"/>
            </w:tcMar>
            <w:vAlign w:val="center"/>
          </w:tcPr>
          <w:p w:rsidR="00200AA3" w:rsidRDefault="00C846AF">
            <w:pPr>
              <w:keepNext/>
              <w:keepLines/>
              <w:spacing w:after="0" w:line="240" w:lineRule="auto"/>
              <w:jc w:val="right"/>
            </w:pPr>
            <w:r>
              <w:rPr>
                <w:sz w:val="18"/>
              </w:rPr>
              <w:t>-</w:t>
            </w:r>
          </w:p>
        </w:tc>
      </w:tr>
      <w:tr w:rsidR="00200AA3">
        <w:trPr>
          <w:cantSplit/>
          <w:trHeight w:val="560"/>
        </w:trPr>
        <w:tc>
          <w:tcPr>
            <w:tcW w:w="700" w:type="dxa"/>
            <w:tcMar>
              <w:top w:w="0" w:type="dxa"/>
              <w:bottom w:w="0" w:type="dxa"/>
            </w:tcMar>
            <w:vAlign w:val="center"/>
          </w:tcPr>
          <w:p w:rsidR="00200AA3" w:rsidRDefault="00200AA3">
            <w:pPr>
              <w:keepNext/>
              <w:keepLines/>
              <w:spacing w:after="0" w:line="240" w:lineRule="auto"/>
            </w:pPr>
          </w:p>
        </w:tc>
        <w:tc>
          <w:tcPr>
            <w:tcW w:w="3180" w:type="dxa"/>
            <w:tcMar>
              <w:top w:w="0" w:type="dxa"/>
              <w:bottom w:w="0" w:type="dxa"/>
            </w:tcMar>
            <w:vAlign w:val="center"/>
          </w:tcPr>
          <w:p w:rsidR="00200AA3" w:rsidRDefault="00C846A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200AA3" w:rsidRDefault="00C846AF">
            <w:pPr>
              <w:keepNext/>
              <w:keepLines/>
              <w:spacing w:after="0" w:line="240" w:lineRule="auto"/>
            </w:pPr>
            <w:r>
              <w:rPr>
                <w:b/>
                <w:sz w:val="18"/>
              </w:rPr>
              <w:t>X003, Y003</w:t>
            </w:r>
          </w:p>
        </w:tc>
        <w:tc>
          <w:tcPr>
            <w:tcW w:w="1860" w:type="dxa"/>
            <w:tcMar>
              <w:top w:w="0" w:type="dxa"/>
              <w:bottom w:w="0" w:type="dxa"/>
            </w:tcMar>
            <w:vAlign w:val="center"/>
          </w:tcPr>
          <w:p w:rsidR="00200AA3" w:rsidRDefault="00C846AF">
            <w:pPr>
              <w:keepNext/>
              <w:keepLines/>
              <w:spacing w:after="0" w:line="240" w:lineRule="auto"/>
              <w:jc w:val="right"/>
            </w:pPr>
            <w:r>
              <w:rPr>
                <w:b/>
                <w:sz w:val="18"/>
              </w:rPr>
              <w:t>0,00</w:t>
            </w:r>
          </w:p>
        </w:tc>
        <w:tc>
          <w:tcPr>
            <w:tcW w:w="1860" w:type="dxa"/>
            <w:tcMar>
              <w:top w:w="0" w:type="dxa"/>
              <w:bottom w:w="0" w:type="dxa"/>
            </w:tcMar>
            <w:vAlign w:val="center"/>
          </w:tcPr>
          <w:p w:rsidR="00200AA3" w:rsidRDefault="00C846AF">
            <w:pPr>
              <w:keepNext/>
              <w:keepLines/>
              <w:spacing w:after="0" w:line="240" w:lineRule="auto"/>
              <w:jc w:val="right"/>
            </w:pPr>
            <w:r>
              <w:rPr>
                <w:b/>
                <w:sz w:val="18"/>
              </w:rPr>
              <w:t>0,00</w:t>
            </w:r>
          </w:p>
        </w:tc>
        <w:tc>
          <w:tcPr>
            <w:tcW w:w="700" w:type="dxa"/>
            <w:tcMar>
              <w:top w:w="0" w:type="dxa"/>
              <w:bottom w:w="0" w:type="dxa"/>
            </w:tcMar>
            <w:vAlign w:val="center"/>
          </w:tcPr>
          <w:p w:rsidR="00200AA3" w:rsidRDefault="00C846AF">
            <w:pPr>
              <w:keepNext/>
              <w:keepLines/>
              <w:spacing w:after="0" w:line="240" w:lineRule="auto"/>
              <w:jc w:val="right"/>
            </w:pPr>
            <w:r>
              <w:rPr>
                <w:b/>
                <w:sz w:val="18"/>
              </w:rPr>
              <w:t>-</w:t>
            </w:r>
          </w:p>
        </w:tc>
      </w:tr>
      <w:tr w:rsidR="00200AA3">
        <w:trPr>
          <w:cantSplit/>
          <w:trHeight w:val="560"/>
        </w:trPr>
        <w:tc>
          <w:tcPr>
            <w:tcW w:w="700" w:type="dxa"/>
            <w:tcMar>
              <w:top w:w="0" w:type="dxa"/>
              <w:bottom w:w="0" w:type="dxa"/>
            </w:tcMar>
            <w:vAlign w:val="center"/>
          </w:tcPr>
          <w:p w:rsidR="00200AA3" w:rsidRDefault="00200AA3">
            <w:pPr>
              <w:keepNext/>
              <w:keepLines/>
              <w:spacing w:after="0" w:line="240" w:lineRule="auto"/>
            </w:pPr>
          </w:p>
        </w:tc>
        <w:tc>
          <w:tcPr>
            <w:tcW w:w="3180" w:type="dxa"/>
            <w:tcMar>
              <w:top w:w="0" w:type="dxa"/>
              <w:bottom w:w="0" w:type="dxa"/>
            </w:tcMar>
            <w:vAlign w:val="center"/>
          </w:tcPr>
          <w:p w:rsidR="00200AA3" w:rsidRDefault="00C846AF">
            <w:pPr>
              <w:keepNext/>
              <w:keepLines/>
              <w:spacing w:after="0" w:line="240" w:lineRule="auto"/>
            </w:pPr>
            <w:r>
              <w:rPr>
                <w:b/>
                <w:sz w:val="18"/>
              </w:rPr>
              <w:t>MANJAK PRIHODA I PRIMITAKA (šifre Y345-X678)</w:t>
            </w:r>
          </w:p>
        </w:tc>
        <w:tc>
          <w:tcPr>
            <w:tcW w:w="700" w:type="dxa"/>
            <w:tcMar>
              <w:top w:w="0" w:type="dxa"/>
              <w:bottom w:w="0" w:type="dxa"/>
            </w:tcMar>
            <w:vAlign w:val="center"/>
          </w:tcPr>
          <w:p w:rsidR="00200AA3" w:rsidRDefault="00C846AF">
            <w:pPr>
              <w:keepNext/>
              <w:keepLines/>
              <w:spacing w:after="0" w:line="240" w:lineRule="auto"/>
            </w:pPr>
            <w:r>
              <w:rPr>
                <w:b/>
                <w:sz w:val="18"/>
              </w:rPr>
              <w:t>Y005</w:t>
            </w:r>
          </w:p>
        </w:tc>
        <w:tc>
          <w:tcPr>
            <w:tcW w:w="1860" w:type="dxa"/>
            <w:tcMar>
              <w:top w:w="0" w:type="dxa"/>
              <w:bottom w:w="0" w:type="dxa"/>
            </w:tcMar>
            <w:vAlign w:val="center"/>
          </w:tcPr>
          <w:p w:rsidR="00200AA3" w:rsidRDefault="00C846AF">
            <w:pPr>
              <w:keepNext/>
              <w:keepLines/>
              <w:spacing w:after="0" w:line="240" w:lineRule="auto"/>
              <w:jc w:val="right"/>
            </w:pPr>
            <w:r>
              <w:rPr>
                <w:b/>
                <w:sz w:val="18"/>
              </w:rPr>
              <w:t>9.704,38</w:t>
            </w:r>
          </w:p>
        </w:tc>
        <w:tc>
          <w:tcPr>
            <w:tcW w:w="1860" w:type="dxa"/>
            <w:tcMar>
              <w:top w:w="0" w:type="dxa"/>
              <w:bottom w:w="0" w:type="dxa"/>
            </w:tcMar>
            <w:vAlign w:val="center"/>
          </w:tcPr>
          <w:p w:rsidR="00200AA3" w:rsidRDefault="00C846AF">
            <w:pPr>
              <w:keepNext/>
              <w:keepLines/>
              <w:spacing w:after="0" w:line="240" w:lineRule="auto"/>
              <w:jc w:val="right"/>
            </w:pPr>
            <w:r>
              <w:rPr>
                <w:b/>
                <w:sz w:val="18"/>
              </w:rPr>
              <w:t>95.603,29</w:t>
            </w:r>
          </w:p>
        </w:tc>
        <w:tc>
          <w:tcPr>
            <w:tcW w:w="700" w:type="dxa"/>
            <w:tcMar>
              <w:top w:w="0" w:type="dxa"/>
              <w:bottom w:w="0" w:type="dxa"/>
            </w:tcMar>
            <w:vAlign w:val="center"/>
          </w:tcPr>
          <w:p w:rsidR="00200AA3" w:rsidRDefault="00C846AF">
            <w:pPr>
              <w:keepNext/>
              <w:keepLines/>
              <w:spacing w:after="0" w:line="240" w:lineRule="auto"/>
              <w:jc w:val="right"/>
            </w:pPr>
            <w:r>
              <w:rPr>
                <w:b/>
                <w:sz w:val="18"/>
              </w:rPr>
              <w:t>985,2</w:t>
            </w:r>
          </w:p>
        </w:tc>
      </w:tr>
    </w:tbl>
    <w:p w:rsidR="00200AA3" w:rsidRDefault="00200AA3">
      <w:pPr>
        <w:spacing w:after="0"/>
      </w:pPr>
    </w:p>
    <w:p w:rsidR="00200AA3" w:rsidRDefault="00C846AF">
      <w:r>
        <w:t xml:space="preserve">U razdoblju od 1.siječnja do 31.prosinca 2025. prihodi poslovanja ostvareni su u iznosu od 1.223.088,02 EUR. Najznačajnije povećanje prihoda poslovanja ostvareno je od prihoda Prijenosi između </w:t>
      </w:r>
      <w:proofErr w:type="spellStart"/>
      <w:r>
        <w:t>između</w:t>
      </w:r>
      <w:proofErr w:type="spellEnd"/>
      <w:r>
        <w:t xml:space="preserve"> proračunskih korisnika istog proračuna koji se odnose na obračunate plaće  pomoćnika u nastavi projekt "I ti možeš" i povećanje prihoda  za financiranje redovne djelatnosti škole koje proizlazi iz povećanja proračunskih sredstava. Najznačajnije smanjenje prihoda poslovanja bilježi se na prihodima od kamata na depozite po viđenju zbog  smanjenja  kamatnih stopa.</w:t>
      </w:r>
    </w:p>
    <w:p w:rsidR="00200AA3" w:rsidRDefault="00C846AF">
      <w:r>
        <w:lastRenderedPageBreak/>
        <w:t xml:space="preserve">Rashodi poslovanja u razdoblju od 1.siječnja do 31. prosinca 2025. ostvareni su iznosu od 1.310.858,26 EUR. Najznačajnije povećanje  rashoda evidentirano je na rashodima za usluge zbog zamjene ulaznih vrata u Matičnoj školi i zbog servisa i zamjene mehaničkog </w:t>
      </w:r>
      <w:proofErr w:type="spellStart"/>
      <w:r>
        <w:t>programatora</w:t>
      </w:r>
      <w:proofErr w:type="spellEnd"/>
      <w:r>
        <w:t xml:space="preserve">  za separator. U navedenom razdoblju nema ostvarenih prihoda od prodaje nefinancijske imovine, dok su rashodi za nabavu nefinancijske imovine ostvareni u iznosu od 7.833,05 EUR. Navedeni rashodi odnose se na nabavu nove opreme prijenosnih računala za učenike , hladnjak za školsku kuhinju, plastifikator, garderobni ormarići za učenike, lektira za školsku knjižnicu radi zamjene zastarjele imovine i osiguranja boljih uvjeta rada i nastave.</w:t>
      </w:r>
    </w:p>
    <w:p w:rsidR="00200AA3" w:rsidRDefault="00C846AF">
      <w:r>
        <w:t>U navedenom razdoblju nije bilo ostvarenih primitaka i izdataka od financijske imovine i zaduživanja. U razdoblju od 1.siječnja do 31.prosinca 2025. ostvaren je manjak prihoda poslovanja u iznosu od 87.770,24 EUR, manjak prihoda od nefinancijske imovine u iznosu od 7.833,05 EUR, slijedom čega je na kraju izvještajnog razdoblja ostvaren ukupan manjak prihoda i primitaka u iznosu od 95.603,29 EUR. Preneseni  višak prihoda iz 2024. godine  iznosi 1.744,99 EUR.  Rezultat poslovanja  iskazan u financijskom  izvještaju je manjak prihoda u iznosu od 93.858,30 EUR  što je rezultat metodološkog manjka, budući da se isti odnose isključivo na rashode plaće zaposlenika, asistenti u nastavi, materijalna prava zaposlenika, materijalni rashodi za mjesec prosinac, a sredstva za pokriće tih rashoda će biti doznačena u siječnju 2026. godine.</w:t>
      </w:r>
    </w:p>
    <w:p w:rsidR="00200AA3" w:rsidRDefault="00C846AF">
      <w:r>
        <w:t> </w:t>
      </w:r>
    </w:p>
    <w:p w:rsidR="00200AA3" w:rsidRDefault="00C846AF">
      <w:r>
        <w:t> </w:t>
      </w:r>
    </w:p>
    <w:p w:rsidR="00200AA3" w:rsidRDefault="00C846AF">
      <w:r>
        <w:br/>
      </w:r>
    </w:p>
    <w:p w:rsidR="00200AA3" w:rsidRDefault="00C846A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639</w:t>
            </w:r>
          </w:p>
        </w:tc>
        <w:tc>
          <w:tcPr>
            <w:tcW w:w="3180" w:type="dxa"/>
            <w:tcMar>
              <w:top w:w="0" w:type="dxa"/>
              <w:bottom w:w="0" w:type="dxa"/>
            </w:tcMar>
            <w:vAlign w:val="center"/>
          </w:tcPr>
          <w:p w:rsidR="00200AA3" w:rsidRDefault="00C846AF">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rsidR="00200AA3" w:rsidRDefault="00C846AF">
            <w:pPr>
              <w:keepNext/>
              <w:keepLines/>
              <w:spacing w:after="0" w:line="240" w:lineRule="auto"/>
            </w:pPr>
            <w:r>
              <w:rPr>
                <w:sz w:val="18"/>
              </w:rPr>
              <w:t>639</w:t>
            </w:r>
          </w:p>
        </w:tc>
        <w:tc>
          <w:tcPr>
            <w:tcW w:w="1860" w:type="dxa"/>
            <w:tcMar>
              <w:top w:w="0" w:type="dxa"/>
              <w:bottom w:w="0" w:type="dxa"/>
            </w:tcMar>
            <w:vAlign w:val="center"/>
          </w:tcPr>
          <w:p w:rsidR="00200AA3" w:rsidRDefault="00C846AF">
            <w:pPr>
              <w:keepNext/>
              <w:keepLines/>
              <w:spacing w:after="0" w:line="240" w:lineRule="auto"/>
              <w:jc w:val="right"/>
            </w:pPr>
            <w:r>
              <w:rPr>
                <w:sz w:val="18"/>
              </w:rPr>
              <w:t>6.381,39</w:t>
            </w:r>
          </w:p>
        </w:tc>
        <w:tc>
          <w:tcPr>
            <w:tcW w:w="1860" w:type="dxa"/>
            <w:tcMar>
              <w:top w:w="0" w:type="dxa"/>
              <w:bottom w:w="0" w:type="dxa"/>
            </w:tcMar>
            <w:vAlign w:val="center"/>
          </w:tcPr>
          <w:p w:rsidR="00200AA3" w:rsidRDefault="00C846AF">
            <w:pPr>
              <w:keepNext/>
              <w:keepLines/>
              <w:spacing w:after="0" w:line="240" w:lineRule="auto"/>
              <w:jc w:val="right"/>
            </w:pPr>
            <w:r>
              <w:rPr>
                <w:sz w:val="18"/>
              </w:rPr>
              <w:t>23.724,46</w:t>
            </w:r>
          </w:p>
        </w:tc>
        <w:tc>
          <w:tcPr>
            <w:tcW w:w="700" w:type="dxa"/>
            <w:tcMar>
              <w:top w:w="0" w:type="dxa"/>
              <w:bottom w:w="0" w:type="dxa"/>
            </w:tcMar>
            <w:vAlign w:val="center"/>
          </w:tcPr>
          <w:p w:rsidR="00200AA3" w:rsidRDefault="00C846AF">
            <w:pPr>
              <w:keepNext/>
              <w:keepLines/>
              <w:spacing w:after="0" w:line="240" w:lineRule="auto"/>
              <w:jc w:val="right"/>
            </w:pPr>
            <w:r>
              <w:rPr>
                <w:sz w:val="18"/>
              </w:rPr>
              <w:t>371,8</w:t>
            </w:r>
          </w:p>
        </w:tc>
      </w:tr>
    </w:tbl>
    <w:p w:rsidR="00200AA3" w:rsidRDefault="00200AA3">
      <w:pPr>
        <w:spacing w:after="0"/>
      </w:pPr>
    </w:p>
    <w:p w:rsidR="00200AA3" w:rsidRDefault="00C846AF">
      <w:r>
        <w:t>Tijekom izvještajnog razdoblja zabilježeno je povećanje prihoda koji se odnose na obračunate plaće za pomoćnike u nastavi projekt "I ti možeš".</w:t>
      </w:r>
    </w:p>
    <w:p w:rsidR="00200AA3" w:rsidRDefault="00200AA3"/>
    <w:p w:rsidR="00200AA3" w:rsidRDefault="00C846A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6615</w:t>
            </w:r>
          </w:p>
        </w:tc>
        <w:tc>
          <w:tcPr>
            <w:tcW w:w="3180" w:type="dxa"/>
            <w:tcMar>
              <w:top w:w="0" w:type="dxa"/>
              <w:bottom w:w="0" w:type="dxa"/>
            </w:tcMar>
            <w:vAlign w:val="center"/>
          </w:tcPr>
          <w:p w:rsidR="00200AA3" w:rsidRDefault="00C846AF">
            <w:pPr>
              <w:keepNext/>
              <w:keepLines/>
              <w:spacing w:after="0" w:line="240" w:lineRule="auto"/>
            </w:pPr>
            <w:r>
              <w:rPr>
                <w:sz w:val="18"/>
              </w:rPr>
              <w:t>Prihodi od pruženih usluga</w:t>
            </w:r>
          </w:p>
        </w:tc>
        <w:tc>
          <w:tcPr>
            <w:tcW w:w="700" w:type="dxa"/>
            <w:tcMar>
              <w:top w:w="0" w:type="dxa"/>
              <w:bottom w:w="0" w:type="dxa"/>
            </w:tcMar>
            <w:vAlign w:val="center"/>
          </w:tcPr>
          <w:p w:rsidR="00200AA3" w:rsidRDefault="00C846AF">
            <w:pPr>
              <w:keepNext/>
              <w:keepLines/>
              <w:spacing w:after="0" w:line="240" w:lineRule="auto"/>
            </w:pPr>
            <w:r>
              <w:rPr>
                <w:sz w:val="18"/>
              </w:rPr>
              <w:t>6615</w:t>
            </w:r>
          </w:p>
        </w:tc>
        <w:tc>
          <w:tcPr>
            <w:tcW w:w="1860" w:type="dxa"/>
            <w:tcMar>
              <w:top w:w="0" w:type="dxa"/>
              <w:bottom w:w="0" w:type="dxa"/>
            </w:tcMar>
            <w:vAlign w:val="center"/>
          </w:tcPr>
          <w:p w:rsidR="00200AA3" w:rsidRDefault="00C846AF">
            <w:pPr>
              <w:keepNext/>
              <w:keepLines/>
              <w:spacing w:after="0" w:line="240" w:lineRule="auto"/>
              <w:jc w:val="right"/>
            </w:pPr>
            <w:r>
              <w:rPr>
                <w:sz w:val="18"/>
              </w:rPr>
              <w:t>3.079,76</w:t>
            </w:r>
          </w:p>
        </w:tc>
        <w:tc>
          <w:tcPr>
            <w:tcW w:w="1860" w:type="dxa"/>
            <w:tcMar>
              <w:top w:w="0" w:type="dxa"/>
              <w:bottom w:w="0" w:type="dxa"/>
            </w:tcMar>
            <w:vAlign w:val="center"/>
          </w:tcPr>
          <w:p w:rsidR="00200AA3" w:rsidRDefault="00C846AF">
            <w:pPr>
              <w:keepNext/>
              <w:keepLines/>
              <w:spacing w:after="0" w:line="240" w:lineRule="auto"/>
              <w:jc w:val="right"/>
            </w:pPr>
            <w:r>
              <w:rPr>
                <w:sz w:val="18"/>
              </w:rPr>
              <w:t>3.464,97</w:t>
            </w:r>
          </w:p>
        </w:tc>
        <w:tc>
          <w:tcPr>
            <w:tcW w:w="700" w:type="dxa"/>
            <w:tcMar>
              <w:top w:w="0" w:type="dxa"/>
              <w:bottom w:w="0" w:type="dxa"/>
            </w:tcMar>
            <w:vAlign w:val="center"/>
          </w:tcPr>
          <w:p w:rsidR="00200AA3" w:rsidRDefault="00C846AF">
            <w:pPr>
              <w:keepNext/>
              <w:keepLines/>
              <w:spacing w:after="0" w:line="240" w:lineRule="auto"/>
              <w:jc w:val="right"/>
            </w:pPr>
            <w:r>
              <w:rPr>
                <w:sz w:val="18"/>
              </w:rPr>
              <w:t>112,5</w:t>
            </w:r>
          </w:p>
        </w:tc>
      </w:tr>
    </w:tbl>
    <w:p w:rsidR="00200AA3" w:rsidRDefault="00200AA3">
      <w:pPr>
        <w:spacing w:after="0"/>
      </w:pPr>
    </w:p>
    <w:p w:rsidR="00200AA3" w:rsidRDefault="00C846AF">
      <w:r>
        <w:t>Povećanje prihoda od pruženih usluga u odnosu na isto razdoblje prethodne godine rezultat je veći broj termina zakupa školskog prostora.</w:t>
      </w:r>
    </w:p>
    <w:p w:rsidR="00200AA3" w:rsidRDefault="00200AA3"/>
    <w:p w:rsidR="00200AA3" w:rsidRDefault="00C846AF">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671</w:t>
            </w:r>
          </w:p>
        </w:tc>
        <w:tc>
          <w:tcPr>
            <w:tcW w:w="3180" w:type="dxa"/>
            <w:tcMar>
              <w:top w:w="0" w:type="dxa"/>
              <w:bottom w:w="0" w:type="dxa"/>
            </w:tcMar>
            <w:vAlign w:val="center"/>
          </w:tcPr>
          <w:p w:rsidR="00200AA3" w:rsidRDefault="00C846AF">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200AA3" w:rsidRDefault="00C846AF">
            <w:pPr>
              <w:keepNext/>
              <w:keepLines/>
              <w:spacing w:after="0" w:line="240" w:lineRule="auto"/>
            </w:pPr>
            <w:r>
              <w:rPr>
                <w:sz w:val="18"/>
              </w:rPr>
              <w:t>671</w:t>
            </w:r>
          </w:p>
        </w:tc>
        <w:tc>
          <w:tcPr>
            <w:tcW w:w="1860" w:type="dxa"/>
            <w:tcMar>
              <w:top w:w="0" w:type="dxa"/>
              <w:bottom w:w="0" w:type="dxa"/>
            </w:tcMar>
            <w:vAlign w:val="center"/>
          </w:tcPr>
          <w:p w:rsidR="00200AA3" w:rsidRDefault="00C846AF">
            <w:pPr>
              <w:keepNext/>
              <w:keepLines/>
              <w:spacing w:after="0" w:line="240" w:lineRule="auto"/>
              <w:jc w:val="right"/>
            </w:pPr>
            <w:r>
              <w:rPr>
                <w:sz w:val="18"/>
              </w:rPr>
              <w:t>71.836,21</w:t>
            </w:r>
          </w:p>
        </w:tc>
        <w:tc>
          <w:tcPr>
            <w:tcW w:w="1860" w:type="dxa"/>
            <w:tcMar>
              <w:top w:w="0" w:type="dxa"/>
              <w:bottom w:w="0" w:type="dxa"/>
            </w:tcMar>
            <w:vAlign w:val="center"/>
          </w:tcPr>
          <w:p w:rsidR="00200AA3" w:rsidRDefault="00C846AF">
            <w:pPr>
              <w:keepNext/>
              <w:keepLines/>
              <w:spacing w:after="0" w:line="240" w:lineRule="auto"/>
              <w:jc w:val="right"/>
            </w:pPr>
            <w:r>
              <w:rPr>
                <w:sz w:val="18"/>
              </w:rPr>
              <w:t>90.830,90</w:t>
            </w:r>
          </w:p>
        </w:tc>
        <w:tc>
          <w:tcPr>
            <w:tcW w:w="700" w:type="dxa"/>
            <w:tcMar>
              <w:top w:w="0" w:type="dxa"/>
              <w:bottom w:w="0" w:type="dxa"/>
            </w:tcMar>
            <w:vAlign w:val="center"/>
          </w:tcPr>
          <w:p w:rsidR="00200AA3" w:rsidRDefault="00C846AF">
            <w:pPr>
              <w:keepNext/>
              <w:keepLines/>
              <w:spacing w:after="0" w:line="240" w:lineRule="auto"/>
              <w:jc w:val="right"/>
            </w:pPr>
            <w:r>
              <w:rPr>
                <w:sz w:val="18"/>
              </w:rPr>
              <w:t>126,4</w:t>
            </w:r>
          </w:p>
        </w:tc>
      </w:tr>
    </w:tbl>
    <w:p w:rsidR="00200AA3" w:rsidRDefault="00200AA3">
      <w:pPr>
        <w:spacing w:after="0"/>
      </w:pPr>
    </w:p>
    <w:p w:rsidR="00200AA3" w:rsidRDefault="00C846AF">
      <w:r>
        <w:t>Povećanje prihoda rezultat je rasta materijalnih troškova koji se financiraju iz proračunskih sredstava.</w:t>
      </w:r>
    </w:p>
    <w:p w:rsidR="00200AA3" w:rsidRDefault="00200AA3"/>
    <w:p w:rsidR="00200AA3" w:rsidRDefault="00C846AF">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311</w:t>
            </w:r>
          </w:p>
        </w:tc>
        <w:tc>
          <w:tcPr>
            <w:tcW w:w="3180" w:type="dxa"/>
            <w:tcMar>
              <w:top w:w="0" w:type="dxa"/>
              <w:bottom w:w="0" w:type="dxa"/>
            </w:tcMar>
            <w:vAlign w:val="center"/>
          </w:tcPr>
          <w:p w:rsidR="00200AA3" w:rsidRDefault="00C846AF">
            <w:pPr>
              <w:keepNext/>
              <w:keepLines/>
              <w:spacing w:after="0" w:line="240" w:lineRule="auto"/>
            </w:pPr>
            <w:r>
              <w:rPr>
                <w:sz w:val="18"/>
              </w:rPr>
              <w:t>Plaće (bruto) (šifre 3111 do 3114)</w:t>
            </w:r>
          </w:p>
        </w:tc>
        <w:tc>
          <w:tcPr>
            <w:tcW w:w="700" w:type="dxa"/>
            <w:tcMar>
              <w:top w:w="0" w:type="dxa"/>
              <w:bottom w:w="0" w:type="dxa"/>
            </w:tcMar>
            <w:vAlign w:val="center"/>
          </w:tcPr>
          <w:p w:rsidR="00200AA3" w:rsidRDefault="00C846AF">
            <w:pPr>
              <w:keepNext/>
              <w:keepLines/>
              <w:spacing w:after="0" w:line="240" w:lineRule="auto"/>
            </w:pPr>
            <w:r>
              <w:rPr>
                <w:sz w:val="18"/>
              </w:rPr>
              <w:t>311</w:t>
            </w:r>
          </w:p>
        </w:tc>
        <w:tc>
          <w:tcPr>
            <w:tcW w:w="1860" w:type="dxa"/>
            <w:tcMar>
              <w:top w:w="0" w:type="dxa"/>
              <w:bottom w:w="0" w:type="dxa"/>
            </w:tcMar>
            <w:vAlign w:val="center"/>
          </w:tcPr>
          <w:p w:rsidR="00200AA3" w:rsidRDefault="00C846AF">
            <w:pPr>
              <w:keepNext/>
              <w:keepLines/>
              <w:spacing w:after="0" w:line="240" w:lineRule="auto"/>
              <w:jc w:val="right"/>
            </w:pPr>
            <w:r>
              <w:rPr>
                <w:sz w:val="18"/>
              </w:rPr>
              <w:t>773.310,10</w:t>
            </w:r>
          </w:p>
        </w:tc>
        <w:tc>
          <w:tcPr>
            <w:tcW w:w="1860" w:type="dxa"/>
            <w:tcMar>
              <w:top w:w="0" w:type="dxa"/>
              <w:bottom w:w="0" w:type="dxa"/>
            </w:tcMar>
            <w:vAlign w:val="center"/>
          </w:tcPr>
          <w:p w:rsidR="00200AA3" w:rsidRDefault="00C846AF">
            <w:pPr>
              <w:keepNext/>
              <w:keepLines/>
              <w:spacing w:after="0" w:line="240" w:lineRule="auto"/>
              <w:jc w:val="right"/>
            </w:pPr>
            <w:r>
              <w:rPr>
                <w:sz w:val="18"/>
              </w:rPr>
              <w:t>927.443,12</w:t>
            </w:r>
          </w:p>
        </w:tc>
        <w:tc>
          <w:tcPr>
            <w:tcW w:w="700" w:type="dxa"/>
            <w:tcMar>
              <w:top w:w="0" w:type="dxa"/>
              <w:bottom w:w="0" w:type="dxa"/>
            </w:tcMar>
            <w:vAlign w:val="center"/>
          </w:tcPr>
          <w:p w:rsidR="00200AA3" w:rsidRDefault="00C846AF">
            <w:pPr>
              <w:keepNext/>
              <w:keepLines/>
              <w:spacing w:after="0" w:line="240" w:lineRule="auto"/>
              <w:jc w:val="right"/>
            </w:pPr>
            <w:r>
              <w:rPr>
                <w:sz w:val="18"/>
              </w:rPr>
              <w:t>119,9</w:t>
            </w:r>
          </w:p>
        </w:tc>
      </w:tr>
    </w:tbl>
    <w:p w:rsidR="00200AA3" w:rsidRDefault="00200AA3">
      <w:pPr>
        <w:spacing w:after="0"/>
      </w:pPr>
    </w:p>
    <w:p w:rsidR="00200AA3" w:rsidRDefault="00C846AF">
      <w:r>
        <w:t>Povećanje rashoda za plaće u odnosu na prethodnu godinu rezultat je povećanja osnovice za obračun plaće i rasta pojedinih dodataka koji se odnose na materijalna prava zaposlenika.</w:t>
      </w:r>
    </w:p>
    <w:p w:rsidR="00200AA3" w:rsidRDefault="00200AA3"/>
    <w:p w:rsidR="00200AA3" w:rsidRDefault="00C846AF">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3232</w:t>
            </w:r>
          </w:p>
        </w:tc>
        <w:tc>
          <w:tcPr>
            <w:tcW w:w="3180" w:type="dxa"/>
            <w:tcMar>
              <w:top w:w="0" w:type="dxa"/>
              <w:bottom w:w="0" w:type="dxa"/>
            </w:tcMar>
            <w:vAlign w:val="center"/>
          </w:tcPr>
          <w:p w:rsidR="00200AA3" w:rsidRDefault="00C846AF">
            <w:pPr>
              <w:keepNext/>
              <w:keepLines/>
              <w:spacing w:after="0" w:line="240" w:lineRule="auto"/>
            </w:pPr>
            <w:r>
              <w:rPr>
                <w:sz w:val="18"/>
              </w:rPr>
              <w:t>Usluge tekućeg i investicijskog održavanja</w:t>
            </w:r>
          </w:p>
        </w:tc>
        <w:tc>
          <w:tcPr>
            <w:tcW w:w="700" w:type="dxa"/>
            <w:tcMar>
              <w:top w:w="0" w:type="dxa"/>
              <w:bottom w:w="0" w:type="dxa"/>
            </w:tcMar>
            <w:vAlign w:val="center"/>
          </w:tcPr>
          <w:p w:rsidR="00200AA3" w:rsidRDefault="00C846AF">
            <w:pPr>
              <w:keepNext/>
              <w:keepLines/>
              <w:spacing w:after="0" w:line="240" w:lineRule="auto"/>
            </w:pPr>
            <w:r>
              <w:rPr>
                <w:sz w:val="18"/>
              </w:rPr>
              <w:t>3232</w:t>
            </w:r>
          </w:p>
        </w:tc>
        <w:tc>
          <w:tcPr>
            <w:tcW w:w="1860" w:type="dxa"/>
            <w:tcMar>
              <w:top w:w="0" w:type="dxa"/>
              <w:bottom w:w="0" w:type="dxa"/>
            </w:tcMar>
            <w:vAlign w:val="center"/>
          </w:tcPr>
          <w:p w:rsidR="00200AA3" w:rsidRDefault="00C846AF">
            <w:pPr>
              <w:keepNext/>
              <w:keepLines/>
              <w:spacing w:after="0" w:line="240" w:lineRule="auto"/>
              <w:jc w:val="right"/>
            </w:pPr>
            <w:r>
              <w:rPr>
                <w:sz w:val="18"/>
              </w:rPr>
              <w:t>2.162,21</w:t>
            </w:r>
          </w:p>
        </w:tc>
        <w:tc>
          <w:tcPr>
            <w:tcW w:w="1860" w:type="dxa"/>
            <w:tcMar>
              <w:top w:w="0" w:type="dxa"/>
              <w:bottom w:w="0" w:type="dxa"/>
            </w:tcMar>
            <w:vAlign w:val="center"/>
          </w:tcPr>
          <w:p w:rsidR="00200AA3" w:rsidRDefault="00C846AF">
            <w:pPr>
              <w:keepNext/>
              <w:keepLines/>
              <w:spacing w:after="0" w:line="240" w:lineRule="auto"/>
              <w:jc w:val="right"/>
            </w:pPr>
            <w:r>
              <w:rPr>
                <w:sz w:val="18"/>
              </w:rPr>
              <w:t>11.340,53</w:t>
            </w:r>
          </w:p>
        </w:tc>
        <w:tc>
          <w:tcPr>
            <w:tcW w:w="700" w:type="dxa"/>
            <w:tcMar>
              <w:top w:w="0" w:type="dxa"/>
              <w:bottom w:w="0" w:type="dxa"/>
            </w:tcMar>
            <w:vAlign w:val="center"/>
          </w:tcPr>
          <w:p w:rsidR="00200AA3" w:rsidRDefault="00C846AF">
            <w:pPr>
              <w:keepNext/>
              <w:keepLines/>
              <w:spacing w:after="0" w:line="240" w:lineRule="auto"/>
              <w:jc w:val="right"/>
            </w:pPr>
            <w:r>
              <w:rPr>
                <w:sz w:val="18"/>
              </w:rPr>
              <w:t>524,5</w:t>
            </w:r>
          </w:p>
        </w:tc>
      </w:tr>
    </w:tbl>
    <w:p w:rsidR="00200AA3" w:rsidRDefault="00200AA3">
      <w:pPr>
        <w:spacing w:after="0"/>
      </w:pPr>
    </w:p>
    <w:p w:rsidR="00200AA3" w:rsidRDefault="00C846AF">
      <w:r>
        <w:t xml:space="preserve">Do povećanja rashoda došlo je zbog zamjene ulaznih vrata u Matičnoj školi  sukladno Protokolu o kontroli ulaska i izlaska u školskim ustanovama, te zbog servisa i zamjene mehaničkog </w:t>
      </w:r>
      <w:proofErr w:type="spellStart"/>
      <w:r>
        <w:t>programatora</w:t>
      </w:r>
      <w:proofErr w:type="spellEnd"/>
      <w:r>
        <w:t xml:space="preserve"> za separator.</w:t>
      </w:r>
    </w:p>
    <w:p w:rsidR="00200AA3" w:rsidRDefault="00200AA3"/>
    <w:p w:rsidR="00200AA3" w:rsidRDefault="00C846A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3233</w:t>
            </w:r>
          </w:p>
        </w:tc>
        <w:tc>
          <w:tcPr>
            <w:tcW w:w="3180" w:type="dxa"/>
            <w:tcMar>
              <w:top w:w="0" w:type="dxa"/>
              <w:bottom w:w="0" w:type="dxa"/>
            </w:tcMar>
            <w:vAlign w:val="center"/>
          </w:tcPr>
          <w:p w:rsidR="00200AA3" w:rsidRDefault="00C846AF">
            <w:pPr>
              <w:keepNext/>
              <w:keepLines/>
              <w:spacing w:after="0" w:line="240" w:lineRule="auto"/>
            </w:pPr>
            <w:r>
              <w:rPr>
                <w:sz w:val="18"/>
              </w:rPr>
              <w:t>Usluge promidžbe i informiranja</w:t>
            </w:r>
          </w:p>
        </w:tc>
        <w:tc>
          <w:tcPr>
            <w:tcW w:w="700" w:type="dxa"/>
            <w:tcMar>
              <w:top w:w="0" w:type="dxa"/>
              <w:bottom w:w="0" w:type="dxa"/>
            </w:tcMar>
            <w:vAlign w:val="center"/>
          </w:tcPr>
          <w:p w:rsidR="00200AA3" w:rsidRDefault="00C846AF">
            <w:pPr>
              <w:keepNext/>
              <w:keepLines/>
              <w:spacing w:after="0" w:line="240" w:lineRule="auto"/>
            </w:pPr>
            <w:r>
              <w:rPr>
                <w:sz w:val="18"/>
              </w:rPr>
              <w:t>3233</w:t>
            </w:r>
          </w:p>
        </w:tc>
        <w:tc>
          <w:tcPr>
            <w:tcW w:w="1860" w:type="dxa"/>
            <w:tcMar>
              <w:top w:w="0" w:type="dxa"/>
              <w:bottom w:w="0" w:type="dxa"/>
            </w:tcMar>
            <w:vAlign w:val="center"/>
          </w:tcPr>
          <w:p w:rsidR="00200AA3" w:rsidRDefault="00C846AF">
            <w:pPr>
              <w:keepNext/>
              <w:keepLines/>
              <w:spacing w:after="0" w:line="240" w:lineRule="auto"/>
              <w:jc w:val="right"/>
            </w:pPr>
            <w:r>
              <w:rPr>
                <w:sz w:val="18"/>
              </w:rPr>
              <w:t>216,25</w:t>
            </w:r>
          </w:p>
        </w:tc>
        <w:tc>
          <w:tcPr>
            <w:tcW w:w="1860" w:type="dxa"/>
            <w:tcMar>
              <w:top w:w="0" w:type="dxa"/>
              <w:bottom w:w="0" w:type="dxa"/>
            </w:tcMar>
            <w:vAlign w:val="center"/>
          </w:tcPr>
          <w:p w:rsidR="00200AA3" w:rsidRDefault="00C846AF">
            <w:pPr>
              <w:keepNext/>
              <w:keepLines/>
              <w:spacing w:after="0" w:line="240" w:lineRule="auto"/>
              <w:jc w:val="right"/>
            </w:pPr>
            <w:r>
              <w:rPr>
                <w:sz w:val="18"/>
              </w:rPr>
              <w:t>1.115,10</w:t>
            </w:r>
          </w:p>
        </w:tc>
        <w:tc>
          <w:tcPr>
            <w:tcW w:w="700" w:type="dxa"/>
            <w:tcMar>
              <w:top w:w="0" w:type="dxa"/>
              <w:bottom w:w="0" w:type="dxa"/>
            </w:tcMar>
            <w:vAlign w:val="center"/>
          </w:tcPr>
          <w:p w:rsidR="00200AA3" w:rsidRDefault="00C846AF">
            <w:pPr>
              <w:keepNext/>
              <w:keepLines/>
              <w:spacing w:after="0" w:line="240" w:lineRule="auto"/>
              <w:jc w:val="right"/>
            </w:pPr>
            <w:r>
              <w:rPr>
                <w:sz w:val="18"/>
              </w:rPr>
              <w:t>515,7</w:t>
            </w:r>
          </w:p>
        </w:tc>
      </w:tr>
    </w:tbl>
    <w:p w:rsidR="00200AA3" w:rsidRDefault="00200AA3">
      <w:pPr>
        <w:spacing w:after="0"/>
      </w:pPr>
    </w:p>
    <w:p w:rsidR="00200AA3" w:rsidRDefault="00C846AF">
      <w:r>
        <w:t xml:space="preserve">Povećanje rashoda u odnosu na prošlu godinu odnosi se na uslugu </w:t>
      </w:r>
      <w:proofErr w:type="spellStart"/>
      <w:r>
        <w:t>printanja</w:t>
      </w:r>
      <w:proofErr w:type="spellEnd"/>
      <w:r>
        <w:t xml:space="preserve"> </w:t>
      </w:r>
      <w:proofErr w:type="spellStart"/>
      <w:r>
        <w:t>slika,izrada</w:t>
      </w:r>
      <w:proofErr w:type="spellEnd"/>
      <w:r>
        <w:t xml:space="preserve"> naljepnica i objava školskog projekta Građanski odgoj i objave postupka javne nabave za dogradnju školske sportske dvorane Područne škole Julijane E. Drašković </w:t>
      </w:r>
      <w:proofErr w:type="spellStart"/>
      <w:r>
        <w:t>Cvetlin</w:t>
      </w:r>
      <w:proofErr w:type="spellEnd"/>
      <w:r>
        <w:t xml:space="preserve"> - projekt NPOO.C3.1.R1-I2.01-V2.0025. i </w:t>
      </w:r>
    </w:p>
    <w:p w:rsidR="00200AA3" w:rsidRDefault="00200AA3"/>
    <w:p w:rsidR="00200AA3" w:rsidRDefault="00C846AF">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3237</w:t>
            </w:r>
          </w:p>
        </w:tc>
        <w:tc>
          <w:tcPr>
            <w:tcW w:w="3180" w:type="dxa"/>
            <w:tcMar>
              <w:top w:w="0" w:type="dxa"/>
              <w:bottom w:w="0" w:type="dxa"/>
            </w:tcMar>
            <w:vAlign w:val="center"/>
          </w:tcPr>
          <w:p w:rsidR="00200AA3" w:rsidRDefault="00C846AF">
            <w:pPr>
              <w:keepNext/>
              <w:keepLines/>
              <w:spacing w:after="0" w:line="240" w:lineRule="auto"/>
            </w:pPr>
            <w:r>
              <w:rPr>
                <w:sz w:val="18"/>
              </w:rPr>
              <w:t>Intelektualne i osobne usluge</w:t>
            </w:r>
          </w:p>
        </w:tc>
        <w:tc>
          <w:tcPr>
            <w:tcW w:w="700" w:type="dxa"/>
            <w:tcMar>
              <w:top w:w="0" w:type="dxa"/>
              <w:bottom w:w="0" w:type="dxa"/>
            </w:tcMar>
            <w:vAlign w:val="center"/>
          </w:tcPr>
          <w:p w:rsidR="00200AA3" w:rsidRDefault="00C846AF">
            <w:pPr>
              <w:keepNext/>
              <w:keepLines/>
              <w:spacing w:after="0" w:line="240" w:lineRule="auto"/>
            </w:pPr>
            <w:r>
              <w:rPr>
                <w:sz w:val="18"/>
              </w:rPr>
              <w:t>3237</w:t>
            </w:r>
          </w:p>
        </w:tc>
        <w:tc>
          <w:tcPr>
            <w:tcW w:w="1860" w:type="dxa"/>
            <w:tcMar>
              <w:top w:w="0" w:type="dxa"/>
              <w:bottom w:w="0" w:type="dxa"/>
            </w:tcMar>
            <w:vAlign w:val="center"/>
          </w:tcPr>
          <w:p w:rsidR="00200AA3" w:rsidRDefault="00C846AF">
            <w:pPr>
              <w:keepNext/>
              <w:keepLines/>
              <w:spacing w:after="0" w:line="240" w:lineRule="auto"/>
              <w:jc w:val="right"/>
            </w:pPr>
            <w:r>
              <w:rPr>
                <w:sz w:val="18"/>
              </w:rPr>
              <w:t>3.323,88</w:t>
            </w:r>
          </w:p>
        </w:tc>
        <w:tc>
          <w:tcPr>
            <w:tcW w:w="1860" w:type="dxa"/>
            <w:tcMar>
              <w:top w:w="0" w:type="dxa"/>
              <w:bottom w:w="0" w:type="dxa"/>
            </w:tcMar>
            <w:vAlign w:val="center"/>
          </w:tcPr>
          <w:p w:rsidR="00200AA3" w:rsidRDefault="00C846AF">
            <w:pPr>
              <w:keepNext/>
              <w:keepLines/>
              <w:spacing w:after="0" w:line="240" w:lineRule="auto"/>
              <w:jc w:val="right"/>
            </w:pPr>
            <w:r>
              <w:rPr>
                <w:sz w:val="18"/>
              </w:rPr>
              <w:t>9.948,95</w:t>
            </w:r>
          </w:p>
        </w:tc>
        <w:tc>
          <w:tcPr>
            <w:tcW w:w="700" w:type="dxa"/>
            <w:tcMar>
              <w:top w:w="0" w:type="dxa"/>
              <w:bottom w:w="0" w:type="dxa"/>
            </w:tcMar>
            <w:vAlign w:val="center"/>
          </w:tcPr>
          <w:p w:rsidR="00200AA3" w:rsidRDefault="00C846AF">
            <w:pPr>
              <w:keepNext/>
              <w:keepLines/>
              <w:spacing w:after="0" w:line="240" w:lineRule="auto"/>
              <w:jc w:val="right"/>
            </w:pPr>
            <w:r>
              <w:rPr>
                <w:sz w:val="18"/>
              </w:rPr>
              <w:t>299,3</w:t>
            </w:r>
          </w:p>
        </w:tc>
      </w:tr>
    </w:tbl>
    <w:p w:rsidR="00200AA3" w:rsidRDefault="00200AA3">
      <w:pPr>
        <w:spacing w:after="0"/>
      </w:pPr>
    </w:p>
    <w:p w:rsidR="00200AA3" w:rsidRDefault="00C846AF">
      <w:r>
        <w:t xml:space="preserve">Do povećanje rashoda u odnosu na prošlu godinu došlo je je zbog izrade Plana sigurnosti škole, izrade projektne dokumentacije izgradnje sportskog igrališta i usluga provedbe otvorenog postupka javne nabave radova za dogradnju školske sportske dvorane Područne škole Julijane E. Drašković </w:t>
      </w:r>
      <w:proofErr w:type="spellStart"/>
      <w:r>
        <w:t>Cvetlin</w:t>
      </w:r>
      <w:proofErr w:type="spellEnd"/>
      <w:r>
        <w:t xml:space="preserve"> - projekt NPOO.C3.1.R1-I2.01-V2.0025.</w:t>
      </w:r>
    </w:p>
    <w:p w:rsidR="00200AA3" w:rsidRDefault="00200AA3"/>
    <w:p w:rsidR="00200AA3" w:rsidRDefault="00C846AF">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4221</w:t>
            </w:r>
          </w:p>
        </w:tc>
        <w:tc>
          <w:tcPr>
            <w:tcW w:w="3180" w:type="dxa"/>
            <w:tcMar>
              <w:top w:w="0" w:type="dxa"/>
              <w:bottom w:w="0" w:type="dxa"/>
            </w:tcMar>
            <w:vAlign w:val="center"/>
          </w:tcPr>
          <w:p w:rsidR="00200AA3" w:rsidRDefault="00C846AF">
            <w:pPr>
              <w:keepNext/>
              <w:keepLines/>
              <w:spacing w:after="0" w:line="240" w:lineRule="auto"/>
            </w:pPr>
            <w:r>
              <w:rPr>
                <w:sz w:val="18"/>
              </w:rPr>
              <w:t>Uredska oprema i namještaj</w:t>
            </w:r>
          </w:p>
        </w:tc>
        <w:tc>
          <w:tcPr>
            <w:tcW w:w="700" w:type="dxa"/>
            <w:tcMar>
              <w:top w:w="0" w:type="dxa"/>
              <w:bottom w:w="0" w:type="dxa"/>
            </w:tcMar>
            <w:vAlign w:val="center"/>
          </w:tcPr>
          <w:p w:rsidR="00200AA3" w:rsidRDefault="00C846AF">
            <w:pPr>
              <w:keepNext/>
              <w:keepLines/>
              <w:spacing w:after="0" w:line="240" w:lineRule="auto"/>
            </w:pPr>
            <w:r>
              <w:rPr>
                <w:sz w:val="18"/>
              </w:rPr>
              <w:t>4221</w:t>
            </w:r>
          </w:p>
        </w:tc>
        <w:tc>
          <w:tcPr>
            <w:tcW w:w="1860" w:type="dxa"/>
            <w:tcMar>
              <w:top w:w="0" w:type="dxa"/>
              <w:bottom w:w="0" w:type="dxa"/>
            </w:tcMar>
            <w:vAlign w:val="center"/>
          </w:tcPr>
          <w:p w:rsidR="00200AA3" w:rsidRDefault="00C846AF">
            <w:pPr>
              <w:keepNext/>
              <w:keepLines/>
              <w:spacing w:after="0" w:line="240" w:lineRule="auto"/>
              <w:jc w:val="right"/>
            </w:pPr>
            <w:r>
              <w:rPr>
                <w:sz w:val="18"/>
              </w:rPr>
              <w:t>743,75</w:t>
            </w:r>
          </w:p>
        </w:tc>
        <w:tc>
          <w:tcPr>
            <w:tcW w:w="1860" w:type="dxa"/>
            <w:tcMar>
              <w:top w:w="0" w:type="dxa"/>
              <w:bottom w:w="0" w:type="dxa"/>
            </w:tcMar>
            <w:vAlign w:val="center"/>
          </w:tcPr>
          <w:p w:rsidR="00200AA3" w:rsidRDefault="00C846AF">
            <w:pPr>
              <w:keepNext/>
              <w:keepLines/>
              <w:spacing w:after="0" w:line="240" w:lineRule="auto"/>
              <w:jc w:val="right"/>
            </w:pPr>
            <w:r>
              <w:rPr>
                <w:sz w:val="18"/>
              </w:rPr>
              <w:t>1.572,50</w:t>
            </w:r>
          </w:p>
        </w:tc>
        <w:tc>
          <w:tcPr>
            <w:tcW w:w="700" w:type="dxa"/>
            <w:tcMar>
              <w:top w:w="0" w:type="dxa"/>
              <w:bottom w:w="0" w:type="dxa"/>
            </w:tcMar>
            <w:vAlign w:val="center"/>
          </w:tcPr>
          <w:p w:rsidR="00200AA3" w:rsidRDefault="00C846AF">
            <w:pPr>
              <w:keepNext/>
              <w:keepLines/>
              <w:spacing w:after="0" w:line="240" w:lineRule="auto"/>
              <w:jc w:val="right"/>
            </w:pPr>
            <w:r>
              <w:rPr>
                <w:sz w:val="18"/>
              </w:rPr>
              <w:t>211,4</w:t>
            </w:r>
          </w:p>
        </w:tc>
      </w:tr>
    </w:tbl>
    <w:p w:rsidR="00200AA3" w:rsidRDefault="00200AA3">
      <w:pPr>
        <w:spacing w:after="0"/>
      </w:pPr>
    </w:p>
    <w:p w:rsidR="00200AA3" w:rsidRDefault="00C846AF">
      <w:r>
        <w:t>Povećanje rashoda za nabavu nefinancijske imovine odnosi se na nabavu dva prijenosna računala za potrebe una</w:t>
      </w:r>
      <w:r w:rsidR="009E018A">
        <w:t>p</w:t>
      </w:r>
      <w:r>
        <w:t>ređenja kvalitete nastave kemije i matematike.</w:t>
      </w:r>
    </w:p>
    <w:p w:rsidR="00200AA3" w:rsidRDefault="00200AA3"/>
    <w:p w:rsidR="00200AA3" w:rsidRDefault="00C846AF">
      <w:pPr>
        <w:keepNext/>
        <w:spacing w:line="240" w:lineRule="auto"/>
        <w:jc w:val="center"/>
      </w:pPr>
      <w:bookmarkStart w:id="0" w:name="_GoBack"/>
      <w:bookmarkEnd w:id="0"/>
      <w:r>
        <w:rPr>
          <w:b/>
          <w:sz w:val="28"/>
        </w:rPr>
        <w:t>Bilanca</w:t>
      </w:r>
    </w:p>
    <w:p w:rsidR="00200AA3" w:rsidRDefault="00C846A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200AA3">
            <w:pPr>
              <w:keepNext/>
              <w:keepLines/>
              <w:spacing w:after="0" w:line="240" w:lineRule="auto"/>
            </w:pPr>
          </w:p>
        </w:tc>
        <w:tc>
          <w:tcPr>
            <w:tcW w:w="3180" w:type="dxa"/>
            <w:tcMar>
              <w:top w:w="0" w:type="dxa"/>
              <w:bottom w:w="0" w:type="dxa"/>
            </w:tcMar>
            <w:vAlign w:val="center"/>
          </w:tcPr>
          <w:p w:rsidR="00200AA3" w:rsidRDefault="00C846AF">
            <w:pPr>
              <w:keepNext/>
              <w:keepLines/>
              <w:spacing w:after="0" w:line="240" w:lineRule="auto"/>
            </w:pPr>
            <w:r>
              <w:rPr>
                <w:sz w:val="18"/>
              </w:rPr>
              <w:t>IMOVINA (šifre B002+1)</w:t>
            </w:r>
          </w:p>
        </w:tc>
        <w:tc>
          <w:tcPr>
            <w:tcW w:w="700" w:type="dxa"/>
            <w:tcMar>
              <w:top w:w="0" w:type="dxa"/>
              <w:bottom w:w="0" w:type="dxa"/>
            </w:tcMar>
            <w:vAlign w:val="center"/>
          </w:tcPr>
          <w:p w:rsidR="00200AA3" w:rsidRDefault="00C846AF">
            <w:pPr>
              <w:keepNext/>
              <w:keepLines/>
              <w:spacing w:after="0" w:line="240" w:lineRule="auto"/>
            </w:pPr>
            <w:r>
              <w:rPr>
                <w:sz w:val="18"/>
              </w:rPr>
              <w:t>B001</w:t>
            </w:r>
          </w:p>
        </w:tc>
        <w:tc>
          <w:tcPr>
            <w:tcW w:w="1860" w:type="dxa"/>
            <w:tcMar>
              <w:top w:w="0" w:type="dxa"/>
              <w:bottom w:w="0" w:type="dxa"/>
            </w:tcMar>
            <w:vAlign w:val="center"/>
          </w:tcPr>
          <w:p w:rsidR="00200AA3" w:rsidRDefault="00C846AF">
            <w:pPr>
              <w:keepNext/>
              <w:keepLines/>
              <w:spacing w:after="0" w:line="240" w:lineRule="auto"/>
              <w:jc w:val="right"/>
            </w:pPr>
            <w:r>
              <w:rPr>
                <w:sz w:val="18"/>
              </w:rPr>
              <w:t>861.747,01</w:t>
            </w:r>
          </w:p>
        </w:tc>
        <w:tc>
          <w:tcPr>
            <w:tcW w:w="1860" w:type="dxa"/>
            <w:tcMar>
              <w:top w:w="0" w:type="dxa"/>
              <w:bottom w:w="0" w:type="dxa"/>
            </w:tcMar>
            <w:vAlign w:val="center"/>
          </w:tcPr>
          <w:p w:rsidR="00200AA3" w:rsidRDefault="00C846AF">
            <w:pPr>
              <w:keepNext/>
              <w:keepLines/>
              <w:spacing w:after="0" w:line="240" w:lineRule="auto"/>
              <w:jc w:val="right"/>
            </w:pPr>
            <w:r>
              <w:rPr>
                <w:sz w:val="18"/>
              </w:rPr>
              <w:t>823.409,66</w:t>
            </w:r>
          </w:p>
        </w:tc>
        <w:tc>
          <w:tcPr>
            <w:tcW w:w="700" w:type="dxa"/>
            <w:tcMar>
              <w:top w:w="0" w:type="dxa"/>
              <w:bottom w:w="0" w:type="dxa"/>
            </w:tcMar>
            <w:vAlign w:val="center"/>
          </w:tcPr>
          <w:p w:rsidR="00200AA3" w:rsidRDefault="00C846AF">
            <w:pPr>
              <w:keepNext/>
              <w:keepLines/>
              <w:spacing w:after="0" w:line="240" w:lineRule="auto"/>
              <w:jc w:val="right"/>
            </w:pPr>
            <w:r>
              <w:rPr>
                <w:sz w:val="18"/>
              </w:rPr>
              <w:t>95,6</w:t>
            </w:r>
          </w:p>
        </w:tc>
      </w:tr>
    </w:tbl>
    <w:p w:rsidR="00200AA3" w:rsidRDefault="00200AA3">
      <w:pPr>
        <w:spacing w:after="0"/>
      </w:pPr>
    </w:p>
    <w:p w:rsidR="00200AA3" w:rsidRDefault="00C846AF">
      <w:r>
        <w:t>B001 stanje imovine na kraju izvještajnog razdoblja iznosi  823.409,66 eura, a odnosi se na nefinancijsku imovinu u iznosu od 728.094,50 eura i financijsku imovinu u iznosu od 95.315,16 eura. Financijska i nefinancijska imovina ne bilježe povećanje u odnosu na stanje iskazano 01.01.2025. godine.</w:t>
      </w:r>
    </w:p>
    <w:p w:rsidR="00200AA3" w:rsidRDefault="00200AA3"/>
    <w:p w:rsidR="00200AA3" w:rsidRDefault="00C846AF">
      <w:pPr>
        <w:keepNext/>
        <w:spacing w:line="240" w:lineRule="auto"/>
        <w:jc w:val="center"/>
      </w:pPr>
      <w:r>
        <w:rPr>
          <w:b/>
          <w:sz w:val="28"/>
        </w:rPr>
        <w:t>Promjene u vrijednosti i obujmu imovine i obveza</w:t>
      </w:r>
    </w:p>
    <w:p w:rsidR="00200AA3" w:rsidRDefault="00C846A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C846AF">
            <w:pPr>
              <w:keepNext/>
              <w:keepLines/>
              <w:spacing w:after="0" w:line="240" w:lineRule="auto"/>
            </w:pPr>
            <w:r>
              <w:rPr>
                <w:sz w:val="18"/>
              </w:rPr>
              <w:t>9151</w:t>
            </w:r>
          </w:p>
        </w:tc>
        <w:tc>
          <w:tcPr>
            <w:tcW w:w="3180" w:type="dxa"/>
            <w:tcMar>
              <w:top w:w="0" w:type="dxa"/>
              <w:bottom w:w="0" w:type="dxa"/>
            </w:tcMar>
            <w:vAlign w:val="center"/>
          </w:tcPr>
          <w:p w:rsidR="00200AA3" w:rsidRDefault="00C846AF">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200AA3" w:rsidRDefault="00C846AF">
            <w:pPr>
              <w:keepNext/>
              <w:keepLines/>
              <w:spacing w:after="0" w:line="240" w:lineRule="auto"/>
            </w:pPr>
            <w:r>
              <w:rPr>
                <w:sz w:val="18"/>
              </w:rPr>
              <w:t>9151</w:t>
            </w:r>
          </w:p>
        </w:tc>
        <w:tc>
          <w:tcPr>
            <w:tcW w:w="1860" w:type="dxa"/>
            <w:tcMar>
              <w:top w:w="0" w:type="dxa"/>
              <w:bottom w:w="0" w:type="dxa"/>
            </w:tcMar>
            <w:vAlign w:val="center"/>
          </w:tcPr>
          <w:p w:rsidR="00200AA3" w:rsidRDefault="00C846AF">
            <w:pPr>
              <w:keepNext/>
              <w:keepLines/>
              <w:spacing w:after="0" w:line="240" w:lineRule="auto"/>
              <w:jc w:val="right"/>
            </w:pPr>
            <w:r>
              <w:rPr>
                <w:sz w:val="18"/>
              </w:rPr>
              <w:t>36.680,38</w:t>
            </w:r>
          </w:p>
        </w:tc>
        <w:tc>
          <w:tcPr>
            <w:tcW w:w="1860" w:type="dxa"/>
            <w:tcMar>
              <w:top w:w="0" w:type="dxa"/>
              <w:bottom w:w="0" w:type="dxa"/>
            </w:tcMar>
            <w:vAlign w:val="center"/>
          </w:tcPr>
          <w:p w:rsidR="00200AA3" w:rsidRDefault="00C846AF">
            <w:pPr>
              <w:keepNext/>
              <w:keepLines/>
              <w:spacing w:after="0" w:line="240" w:lineRule="auto"/>
              <w:jc w:val="right"/>
            </w:pPr>
            <w:r>
              <w:rPr>
                <w:sz w:val="18"/>
              </w:rPr>
              <w:t>467,78</w:t>
            </w:r>
          </w:p>
        </w:tc>
        <w:tc>
          <w:tcPr>
            <w:tcW w:w="700" w:type="dxa"/>
            <w:tcMar>
              <w:top w:w="0" w:type="dxa"/>
              <w:bottom w:w="0" w:type="dxa"/>
            </w:tcMar>
            <w:vAlign w:val="center"/>
          </w:tcPr>
          <w:p w:rsidR="00200AA3" w:rsidRDefault="00C846AF">
            <w:pPr>
              <w:keepNext/>
              <w:keepLines/>
              <w:spacing w:after="0" w:line="240" w:lineRule="auto"/>
              <w:jc w:val="right"/>
            </w:pPr>
            <w:r>
              <w:rPr>
                <w:sz w:val="18"/>
              </w:rPr>
              <w:t>1,3</w:t>
            </w:r>
          </w:p>
        </w:tc>
      </w:tr>
    </w:tbl>
    <w:p w:rsidR="00200AA3" w:rsidRDefault="00200AA3">
      <w:pPr>
        <w:spacing w:after="0"/>
      </w:pPr>
    </w:p>
    <w:p w:rsidR="00200AA3" w:rsidRDefault="00C846AF">
      <w:r>
        <w:lastRenderedPageBreak/>
        <w:t>Iskazano je povećanje u vrijednosti i obujmu imovine koje se odnosi na darovane knjige od strane Županije.</w:t>
      </w:r>
    </w:p>
    <w:p w:rsidR="00200AA3" w:rsidRDefault="00200AA3"/>
    <w:p w:rsidR="00200AA3" w:rsidRDefault="00C846AF">
      <w:pPr>
        <w:keepNext/>
        <w:spacing w:line="240" w:lineRule="auto"/>
        <w:jc w:val="center"/>
      </w:pPr>
      <w:r>
        <w:rPr>
          <w:b/>
          <w:sz w:val="28"/>
        </w:rPr>
        <w:t>Izvještaj o obvezama</w:t>
      </w:r>
    </w:p>
    <w:p w:rsidR="00200AA3" w:rsidRDefault="00C846AF">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200AA3">
            <w:pPr>
              <w:keepNext/>
              <w:keepLines/>
              <w:spacing w:after="0" w:line="240" w:lineRule="auto"/>
            </w:pPr>
          </w:p>
        </w:tc>
        <w:tc>
          <w:tcPr>
            <w:tcW w:w="3180" w:type="dxa"/>
            <w:tcMar>
              <w:top w:w="0" w:type="dxa"/>
              <w:bottom w:w="0" w:type="dxa"/>
            </w:tcMar>
            <w:vAlign w:val="center"/>
          </w:tcPr>
          <w:p w:rsidR="00200AA3" w:rsidRDefault="00C846AF">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200AA3" w:rsidRDefault="00C846AF">
            <w:pPr>
              <w:keepNext/>
              <w:keepLines/>
              <w:spacing w:after="0" w:line="240" w:lineRule="auto"/>
            </w:pPr>
            <w:r>
              <w:rPr>
                <w:sz w:val="18"/>
              </w:rPr>
              <w:t>V001</w:t>
            </w:r>
          </w:p>
        </w:tc>
        <w:tc>
          <w:tcPr>
            <w:tcW w:w="1860" w:type="dxa"/>
            <w:tcMar>
              <w:top w:w="0" w:type="dxa"/>
              <w:bottom w:w="0" w:type="dxa"/>
            </w:tcMar>
            <w:vAlign w:val="center"/>
          </w:tcPr>
          <w:p w:rsidR="00200AA3" w:rsidRDefault="00C846AF">
            <w:pPr>
              <w:keepNext/>
              <w:keepLines/>
              <w:spacing w:after="0" w:line="240" w:lineRule="auto"/>
              <w:jc w:val="right"/>
            </w:pPr>
            <w:r>
              <w:rPr>
                <w:sz w:val="18"/>
              </w:rPr>
              <w:t>92.653,16</w:t>
            </w:r>
          </w:p>
        </w:tc>
        <w:tc>
          <w:tcPr>
            <w:tcW w:w="700" w:type="dxa"/>
            <w:tcMar>
              <w:top w:w="0" w:type="dxa"/>
              <w:bottom w:w="0" w:type="dxa"/>
            </w:tcMar>
            <w:vAlign w:val="center"/>
          </w:tcPr>
          <w:p w:rsidR="00200AA3" w:rsidRDefault="00C846AF">
            <w:pPr>
              <w:keepNext/>
              <w:keepLines/>
              <w:spacing w:after="0" w:line="240" w:lineRule="auto"/>
              <w:jc w:val="right"/>
            </w:pPr>
            <w:r>
              <w:rPr>
                <w:sz w:val="18"/>
              </w:rPr>
              <w:t>-</w:t>
            </w:r>
          </w:p>
        </w:tc>
      </w:tr>
    </w:tbl>
    <w:p w:rsidR="00200AA3" w:rsidRDefault="00200AA3">
      <w:pPr>
        <w:spacing w:after="0"/>
      </w:pPr>
    </w:p>
    <w:p w:rsidR="00200AA3" w:rsidRDefault="00C846AF">
      <w:r>
        <w:t>Stanje obveza 1. siječnja 2025. u iznosu od 92.653,16 eura jednako je stanju obveza iz izvještaja o obvezama 31.prosinca prethodne godine.</w:t>
      </w:r>
    </w:p>
    <w:p w:rsidR="00200AA3" w:rsidRDefault="00C846AF">
      <w:r>
        <w:t>Stanje obveza na kraju izvještajnog razdoblja iznosi 99.178,01 što je rezultat metodološkog manjka, budući da se isti odnose isključivo na rashode za mjesec prosinac 2025. godine, a sredstva za pokriće tih rashoda će biti doznačena u siječnju 2026. godine.</w:t>
      </w:r>
    </w:p>
    <w:p w:rsidR="00200AA3" w:rsidRDefault="00C846AF">
      <w:r>
        <w:t> </w:t>
      </w:r>
    </w:p>
    <w:p w:rsidR="00200AA3" w:rsidRDefault="00200AA3"/>
    <w:p w:rsidR="00200AA3" w:rsidRDefault="00C846A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00AA3">
        <w:trPr>
          <w:cantSplit/>
        </w:trPr>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00AA3" w:rsidRDefault="00C846AF">
            <w:pPr>
              <w:keepNext/>
              <w:keepLines/>
              <w:spacing w:after="0" w:line="240" w:lineRule="auto"/>
              <w:jc w:val="center"/>
            </w:pPr>
            <w:r>
              <w:rPr>
                <w:b/>
                <w:sz w:val="18"/>
              </w:rPr>
              <w:t>Indeks (%)</w:t>
            </w:r>
          </w:p>
        </w:tc>
      </w:tr>
      <w:tr w:rsidR="00200AA3">
        <w:trPr>
          <w:cantSplit/>
          <w:trHeight w:val="560"/>
        </w:trPr>
        <w:tc>
          <w:tcPr>
            <w:tcW w:w="700" w:type="dxa"/>
            <w:tcMar>
              <w:top w:w="0" w:type="dxa"/>
              <w:bottom w:w="0" w:type="dxa"/>
            </w:tcMar>
            <w:vAlign w:val="center"/>
          </w:tcPr>
          <w:p w:rsidR="00200AA3" w:rsidRDefault="00200AA3">
            <w:pPr>
              <w:keepNext/>
              <w:keepLines/>
              <w:spacing w:after="0" w:line="240" w:lineRule="auto"/>
            </w:pPr>
          </w:p>
        </w:tc>
        <w:tc>
          <w:tcPr>
            <w:tcW w:w="3180" w:type="dxa"/>
            <w:tcMar>
              <w:top w:w="0" w:type="dxa"/>
              <w:bottom w:w="0" w:type="dxa"/>
            </w:tcMar>
            <w:vAlign w:val="center"/>
          </w:tcPr>
          <w:p w:rsidR="00200AA3" w:rsidRDefault="00C846A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200AA3" w:rsidRDefault="00C846AF">
            <w:pPr>
              <w:keepNext/>
              <w:keepLines/>
              <w:spacing w:after="0" w:line="240" w:lineRule="auto"/>
            </w:pPr>
            <w:r>
              <w:rPr>
                <w:sz w:val="18"/>
              </w:rPr>
              <w:t>V007</w:t>
            </w:r>
          </w:p>
        </w:tc>
        <w:tc>
          <w:tcPr>
            <w:tcW w:w="1860" w:type="dxa"/>
            <w:tcMar>
              <w:top w:w="0" w:type="dxa"/>
              <w:bottom w:w="0" w:type="dxa"/>
            </w:tcMar>
            <w:vAlign w:val="center"/>
          </w:tcPr>
          <w:p w:rsidR="00200AA3" w:rsidRDefault="00C846AF">
            <w:pPr>
              <w:keepNext/>
              <w:keepLines/>
              <w:spacing w:after="0" w:line="240" w:lineRule="auto"/>
              <w:jc w:val="right"/>
            </w:pPr>
            <w:r>
              <w:rPr>
                <w:sz w:val="18"/>
              </w:rPr>
              <w:t>0,00</w:t>
            </w:r>
          </w:p>
        </w:tc>
        <w:tc>
          <w:tcPr>
            <w:tcW w:w="700" w:type="dxa"/>
            <w:tcMar>
              <w:top w:w="0" w:type="dxa"/>
              <w:bottom w:w="0" w:type="dxa"/>
            </w:tcMar>
            <w:vAlign w:val="center"/>
          </w:tcPr>
          <w:p w:rsidR="00200AA3" w:rsidRDefault="00C846AF">
            <w:pPr>
              <w:keepNext/>
              <w:keepLines/>
              <w:spacing w:after="0" w:line="240" w:lineRule="auto"/>
              <w:jc w:val="right"/>
            </w:pPr>
            <w:r>
              <w:rPr>
                <w:sz w:val="18"/>
              </w:rPr>
              <w:t>-</w:t>
            </w:r>
          </w:p>
        </w:tc>
      </w:tr>
    </w:tbl>
    <w:p w:rsidR="00200AA3" w:rsidRDefault="00200AA3">
      <w:pPr>
        <w:spacing w:after="0"/>
      </w:pPr>
    </w:p>
    <w:p w:rsidR="00200AA3" w:rsidRDefault="00C846AF">
      <w:r>
        <w:t>Na kraju izvještajnog razdoblja nije bilo dospjelih obveza.</w:t>
      </w:r>
    </w:p>
    <w:p w:rsidR="00200AA3" w:rsidRDefault="00200AA3"/>
    <w:p w:rsidR="00200AA3" w:rsidRDefault="00C846AF">
      <w:pPr>
        <w:keepNext/>
        <w:spacing w:line="240" w:lineRule="auto"/>
        <w:jc w:val="center"/>
      </w:pPr>
      <w:r>
        <w:rPr>
          <w:sz w:val="28"/>
        </w:rPr>
        <w:t>Bilješka 14.</w:t>
      </w:r>
    </w:p>
    <w:p w:rsidR="00200AA3" w:rsidRDefault="00C846AF">
      <w:pPr>
        <w:spacing w:line="240" w:lineRule="auto"/>
        <w:jc w:val="both"/>
      </w:pPr>
      <w:r>
        <w:rPr>
          <w:b/>
        </w:rPr>
        <w:t>EU izvještaj</w:t>
      </w:r>
    </w:p>
    <w:p w:rsidR="00200AA3" w:rsidRDefault="00C846AF">
      <w:r>
        <w:t>U razdoblju od 01. siječnja do 31. prosinca 2025. godine ostvareni su prihodi i rashodi poslovanja u iznosu od 5.079,32 eura koji se odnose na obračunate plaće asistenata u nastavi u sklopu projekta "I ti možeš".</w:t>
      </w:r>
    </w:p>
    <w:p w:rsidR="00200AA3" w:rsidRDefault="00200AA3"/>
    <w:sectPr w:rsidR="00200A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A3"/>
    <w:rsid w:val="00200AA3"/>
    <w:rsid w:val="009E018A"/>
    <w:rsid w:val="00C846AF"/>
    <w:rsid w:val="00F329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2F35"/>
  <w15:docId w15:val="{D5DCEC6D-9CE9-4F8F-8F22-52CDA2EE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1311</Words>
  <Characters>7474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Belas</dc:creator>
  <cp:lastModifiedBy>Sonja Kolarek</cp:lastModifiedBy>
  <cp:revision>4</cp:revision>
  <dcterms:created xsi:type="dcterms:W3CDTF">2026-02-02T07:15:00Z</dcterms:created>
  <dcterms:modified xsi:type="dcterms:W3CDTF">2026-02-02T07:16:00Z</dcterms:modified>
</cp:coreProperties>
</file>